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5B1DF" w14:textId="3AF8423C" w:rsidR="00195699" w:rsidRPr="00195699" w:rsidRDefault="009D71E8" w:rsidP="00195699">
      <w:pPr>
        <w:pStyle w:val="Heading1"/>
        <w:jc w:val="center"/>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1C5FC4">
        <w:t xml:space="preserve"> 202</w:t>
      </w:r>
      <w:r w:rsidR="00317C41">
        <w:t>2</w:t>
      </w:r>
      <w:r w:rsidR="001C5FC4">
        <w:t xml:space="preserve"> </w:t>
      </w:r>
      <w:r w:rsidR="00195699">
        <w:t>–</w:t>
      </w:r>
      <w:r w:rsidR="001C5FC4">
        <w:t xml:space="preserve"> 202</w:t>
      </w:r>
      <w:r w:rsidR="00317C41">
        <w:t>3</w:t>
      </w:r>
      <w:r w:rsidR="00195699">
        <w:t xml:space="preserve"> </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A466792" w:rsidR="00E66558" w:rsidRDefault="001C5FC4">
            <w:pPr>
              <w:pStyle w:val="TableRow"/>
            </w:pPr>
            <w:r>
              <w:t xml:space="preserve">Oakley Vale Primary School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AFAC662" w:rsidR="00E66558" w:rsidRDefault="006B5E63">
            <w:pPr>
              <w:pStyle w:val="TableRow"/>
            </w:pPr>
            <w:r>
              <w:t>41</w:t>
            </w:r>
            <w:r w:rsidR="009235E4">
              <w:t>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A00684D" w:rsidR="00E66558" w:rsidRDefault="001409C5">
            <w:pPr>
              <w:pStyle w:val="TableRow"/>
            </w:pPr>
            <w:r>
              <w:t>12.</w:t>
            </w:r>
            <w:r w:rsidR="0026035E">
              <w:t>9</w:t>
            </w:r>
            <w:r w:rsidR="006B5E63">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70BB30D" w:rsidR="00E66558" w:rsidRDefault="00F808BD">
            <w:pPr>
              <w:pStyle w:val="TableRow"/>
            </w:pPr>
            <w:r>
              <w:t>2021 – 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00BB67C" w:rsidR="00E66558" w:rsidRDefault="00F808BD" w:rsidP="00F808BD">
            <w:pPr>
              <w:pStyle w:val="TableRow"/>
              <w:ind w:left="0"/>
            </w:pPr>
            <w:r>
              <w:t>December 202</w:t>
            </w:r>
            <w:r w:rsidR="005B3672">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5CB1395" w:rsidR="00E66558" w:rsidRDefault="009F32E1" w:rsidP="00F808BD">
            <w:pPr>
              <w:pStyle w:val="TableRow"/>
              <w:ind w:left="0"/>
            </w:pPr>
            <w:r>
              <w:t>December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D97F185" w:rsidR="00E66558" w:rsidRDefault="00D566CA" w:rsidP="0052687B">
            <w:pPr>
              <w:pStyle w:val="TableRow"/>
              <w:ind w:left="0"/>
            </w:pPr>
            <w:r>
              <w:t>Sarah Sanders</w:t>
            </w:r>
            <w:r w:rsidR="00D541E0">
              <w:t>, Head</w:t>
            </w:r>
            <w:r w:rsidR="0052687B">
              <w:t xml:space="preserve"> </w:t>
            </w:r>
            <w:r w:rsidR="00D541E0">
              <w:t>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CA5B337" w:rsidR="00E66558" w:rsidRDefault="006B5E63" w:rsidP="0052687B">
            <w:pPr>
              <w:pStyle w:val="TableRow"/>
              <w:ind w:left="0"/>
            </w:pPr>
            <w:r>
              <w:t xml:space="preserve">Anneka </w:t>
            </w:r>
            <w:r w:rsidR="00086424">
              <w:t>Rawlinson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84C5024" w:rsidR="00E66558" w:rsidRDefault="009736B2" w:rsidP="0052687B">
            <w:pPr>
              <w:pStyle w:val="TableRow"/>
              <w:ind w:left="0"/>
            </w:pPr>
            <w:r>
              <w:t>Jenny White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9DA64BB" w:rsidR="00E66558" w:rsidRPr="00462140" w:rsidRDefault="002254C7">
            <w:pPr>
              <w:pStyle w:val="TableRow"/>
              <w:rPr>
                <w:highlight w:val="yellow"/>
              </w:rPr>
            </w:pPr>
            <w:r w:rsidRPr="002254C7">
              <w:t>£65,000</w:t>
            </w:r>
            <w:r w:rsidR="00804B5F">
              <w:t xml:space="preserve"> (2022-2023)</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AEF6125" w:rsidR="00E66558" w:rsidRPr="00462140" w:rsidRDefault="009D71E8">
            <w:pPr>
              <w:pStyle w:val="TableRow"/>
              <w:rPr>
                <w:highlight w:val="yellow"/>
              </w:rPr>
            </w:pPr>
            <w:r w:rsidRPr="0037275D">
              <w:t>£</w:t>
            </w:r>
            <w:r w:rsidR="0037275D" w:rsidRPr="0037275D">
              <w:t>1595</w:t>
            </w:r>
            <w:r w:rsidR="00F808BD" w:rsidRPr="0037275D">
              <w:t xml:space="preserve"> (202</w:t>
            </w:r>
            <w:r w:rsidR="00804B5F" w:rsidRPr="0037275D">
              <w:t>2</w:t>
            </w:r>
            <w:r w:rsidR="00F808BD" w:rsidRPr="0037275D">
              <w:t xml:space="preserve"> – 202</w:t>
            </w:r>
            <w:r w:rsidR="00804B5F" w:rsidRPr="0037275D">
              <w:t>3</w:t>
            </w:r>
            <w:r w:rsidR="00F808BD" w:rsidRPr="0037275D">
              <w:t>)</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3EFDA6D" w:rsidR="00E66558" w:rsidRDefault="009D71E8">
            <w:pPr>
              <w:pStyle w:val="TableRow"/>
            </w:pPr>
            <w:r>
              <w:t>£</w:t>
            </w:r>
            <w:r w:rsidR="0052687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08C1A1C" w:rsidR="00E66558" w:rsidRPr="00462140" w:rsidRDefault="009D71E8">
            <w:pPr>
              <w:pStyle w:val="TableRow"/>
              <w:rPr>
                <w:highlight w:val="yellow"/>
              </w:rPr>
            </w:pPr>
            <w:r w:rsidRPr="002254C7">
              <w:t>£</w:t>
            </w:r>
            <w:r w:rsidR="002254C7" w:rsidRPr="002254C7">
              <w:t>65,000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F485E" w14:textId="797B3DC8" w:rsidR="000F55E9" w:rsidRPr="00A15711" w:rsidRDefault="000F55E9" w:rsidP="00DF23A5">
            <w:pPr>
              <w:rPr>
                <w:i/>
                <w:iCs/>
                <w:sz w:val="22"/>
              </w:rPr>
            </w:pPr>
            <w:r w:rsidRPr="00A15711">
              <w:rPr>
                <w:i/>
                <w:iCs/>
                <w:sz w:val="22"/>
              </w:rPr>
              <w:t>School Contex</w:t>
            </w:r>
            <w:r w:rsidR="00591CAA" w:rsidRPr="00A15711">
              <w:rPr>
                <w:i/>
                <w:iCs/>
                <w:sz w:val="22"/>
              </w:rPr>
              <w:t xml:space="preserve">t: We are two-form entry school, with 417 pupils on roll. Our disadvantaged numbers are below the national average but we are within distance of some more deprived areas. </w:t>
            </w:r>
          </w:p>
          <w:p w14:paraId="0D7982B3" w14:textId="661D4FB4" w:rsidR="000F55E9" w:rsidRPr="00A15711" w:rsidRDefault="000F55E9" w:rsidP="00DF23A5">
            <w:pPr>
              <w:rPr>
                <w:i/>
                <w:iCs/>
                <w:sz w:val="22"/>
              </w:rPr>
            </w:pPr>
            <w:r w:rsidRPr="00A15711">
              <w:rPr>
                <w:noProof/>
                <w:sz w:val="22"/>
              </w:rPr>
              <w:drawing>
                <wp:anchor distT="0" distB="0" distL="114300" distR="114300" simplePos="0" relativeHeight="251661312" behindDoc="0" locked="0" layoutInCell="1" allowOverlap="1" wp14:anchorId="44377E02" wp14:editId="03F2F6DD">
                  <wp:simplePos x="0" y="0"/>
                  <wp:positionH relativeFrom="column">
                    <wp:posOffset>3801376</wp:posOffset>
                  </wp:positionH>
                  <wp:positionV relativeFrom="paragraph">
                    <wp:posOffset>285234</wp:posOffset>
                  </wp:positionV>
                  <wp:extent cx="2028825" cy="20002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28825" cy="2000250"/>
                          </a:xfrm>
                          <a:prstGeom prst="rect">
                            <a:avLst/>
                          </a:prstGeom>
                        </pic:spPr>
                      </pic:pic>
                    </a:graphicData>
                  </a:graphic>
                  <wp14:sizeRelH relativeFrom="page">
                    <wp14:pctWidth>0</wp14:pctWidth>
                  </wp14:sizeRelH>
                  <wp14:sizeRelV relativeFrom="page">
                    <wp14:pctHeight>0</wp14:pctHeight>
                  </wp14:sizeRelV>
                </wp:anchor>
              </w:drawing>
            </w:r>
            <w:r w:rsidRPr="00A15711">
              <w:rPr>
                <w:noProof/>
                <w:sz w:val="22"/>
              </w:rPr>
              <w:drawing>
                <wp:anchor distT="0" distB="0" distL="114300" distR="114300" simplePos="0" relativeHeight="251660288" behindDoc="0" locked="0" layoutInCell="1" allowOverlap="1" wp14:anchorId="040D003A" wp14:editId="686FCAB2">
                  <wp:simplePos x="0" y="0"/>
                  <wp:positionH relativeFrom="column">
                    <wp:posOffset>-16983</wp:posOffset>
                  </wp:positionH>
                  <wp:positionV relativeFrom="paragraph">
                    <wp:posOffset>233887</wp:posOffset>
                  </wp:positionV>
                  <wp:extent cx="3718425" cy="2714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18425" cy="2714625"/>
                          </a:xfrm>
                          <a:prstGeom prst="rect">
                            <a:avLst/>
                          </a:prstGeom>
                        </pic:spPr>
                      </pic:pic>
                    </a:graphicData>
                  </a:graphic>
                  <wp14:sizeRelH relativeFrom="page">
                    <wp14:pctWidth>0</wp14:pctWidth>
                  </wp14:sizeRelH>
                  <wp14:sizeRelV relativeFrom="page">
                    <wp14:pctHeight>0</wp14:pctHeight>
                  </wp14:sizeRelV>
                </wp:anchor>
              </w:drawing>
            </w:r>
            <w:r w:rsidRPr="00A15711">
              <w:rPr>
                <w:i/>
                <w:iCs/>
                <w:sz w:val="22"/>
              </w:rPr>
              <w:t>Captured in 2019</w:t>
            </w:r>
          </w:p>
          <w:p w14:paraId="771CC598" w14:textId="4B34217C" w:rsidR="000F55E9" w:rsidRPr="00A15711" w:rsidRDefault="000F55E9" w:rsidP="00DF23A5">
            <w:pPr>
              <w:rPr>
                <w:i/>
                <w:iCs/>
                <w:sz w:val="22"/>
              </w:rPr>
            </w:pPr>
          </w:p>
          <w:p w14:paraId="23BB0D3B" w14:textId="7E744D52" w:rsidR="000F55E9" w:rsidRPr="00A15711" w:rsidRDefault="000F55E9" w:rsidP="00DF23A5">
            <w:pPr>
              <w:rPr>
                <w:i/>
                <w:iCs/>
                <w:sz w:val="22"/>
              </w:rPr>
            </w:pPr>
          </w:p>
          <w:p w14:paraId="64CEACD3" w14:textId="3F2AC03A" w:rsidR="000F55E9" w:rsidRPr="00A15711" w:rsidRDefault="000F55E9" w:rsidP="00DF23A5">
            <w:pPr>
              <w:rPr>
                <w:iCs/>
                <w:color w:val="auto"/>
                <w:sz w:val="22"/>
              </w:rPr>
            </w:pPr>
          </w:p>
          <w:p w14:paraId="260478AB" w14:textId="77777777" w:rsidR="000F55E9" w:rsidRPr="00A15711" w:rsidRDefault="000F55E9" w:rsidP="00DF23A5">
            <w:pPr>
              <w:rPr>
                <w:iCs/>
                <w:color w:val="auto"/>
                <w:sz w:val="22"/>
              </w:rPr>
            </w:pPr>
          </w:p>
          <w:p w14:paraId="58E90251" w14:textId="77777777" w:rsidR="000F55E9" w:rsidRPr="00A15711" w:rsidRDefault="000F55E9" w:rsidP="00DF23A5">
            <w:pPr>
              <w:rPr>
                <w:iCs/>
                <w:color w:val="auto"/>
                <w:sz w:val="22"/>
              </w:rPr>
            </w:pPr>
          </w:p>
          <w:p w14:paraId="00A90964" w14:textId="6705343E" w:rsidR="000F55E9" w:rsidRPr="00A15711" w:rsidRDefault="000F55E9" w:rsidP="00DF23A5">
            <w:pPr>
              <w:rPr>
                <w:iCs/>
                <w:color w:val="auto"/>
                <w:sz w:val="22"/>
              </w:rPr>
            </w:pPr>
          </w:p>
          <w:p w14:paraId="4DB22669" w14:textId="1AD1AB29" w:rsidR="000F55E9" w:rsidRPr="00A15711" w:rsidRDefault="000F55E9" w:rsidP="00DF23A5">
            <w:pPr>
              <w:rPr>
                <w:iCs/>
                <w:color w:val="auto"/>
                <w:sz w:val="22"/>
              </w:rPr>
            </w:pPr>
          </w:p>
          <w:p w14:paraId="78A016D6" w14:textId="309912DE" w:rsidR="000F55E9" w:rsidRPr="00A15711" w:rsidRDefault="000F55E9" w:rsidP="00DF23A5">
            <w:pPr>
              <w:rPr>
                <w:iCs/>
                <w:color w:val="auto"/>
                <w:sz w:val="22"/>
              </w:rPr>
            </w:pPr>
          </w:p>
          <w:p w14:paraId="7B75A3B0" w14:textId="3946B689" w:rsidR="000F55E9" w:rsidRPr="00A15711" w:rsidRDefault="000F55E9" w:rsidP="00DF23A5">
            <w:pPr>
              <w:rPr>
                <w:i/>
                <w:iCs/>
                <w:color w:val="auto"/>
                <w:sz w:val="22"/>
              </w:rPr>
            </w:pPr>
            <w:r w:rsidRPr="00A15711">
              <w:rPr>
                <w:i/>
                <w:iCs/>
                <w:color w:val="auto"/>
                <w:sz w:val="22"/>
              </w:rPr>
              <w:t>Captured in 2010:</w:t>
            </w:r>
          </w:p>
          <w:p w14:paraId="598BC995" w14:textId="63C7C66F" w:rsidR="000F55E9" w:rsidRPr="00A15711" w:rsidRDefault="000F55E9" w:rsidP="00DF23A5">
            <w:pPr>
              <w:rPr>
                <w:i/>
                <w:iCs/>
                <w:color w:val="auto"/>
                <w:sz w:val="22"/>
              </w:rPr>
            </w:pPr>
            <w:r w:rsidRPr="00A15711">
              <w:rPr>
                <w:noProof/>
                <w:sz w:val="22"/>
              </w:rPr>
              <w:drawing>
                <wp:inline distT="0" distB="0" distL="0" distR="0" wp14:anchorId="02146D0D" wp14:editId="14F294E4">
                  <wp:extent cx="3707293" cy="25431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6212"/>
                          <a:stretch/>
                        </pic:blipFill>
                        <pic:spPr bwMode="auto">
                          <a:xfrm>
                            <a:off x="0" y="0"/>
                            <a:ext cx="3707293" cy="2543175"/>
                          </a:xfrm>
                          <a:prstGeom prst="rect">
                            <a:avLst/>
                          </a:prstGeom>
                          <a:ln>
                            <a:noFill/>
                          </a:ln>
                          <a:extLst>
                            <a:ext uri="{53640926-AAD7-44D8-BBD7-CCE9431645EC}">
                              <a14:shadowObscured xmlns:a14="http://schemas.microsoft.com/office/drawing/2010/main"/>
                            </a:ext>
                          </a:extLst>
                        </pic:spPr>
                      </pic:pic>
                    </a:graphicData>
                  </a:graphic>
                </wp:inline>
              </w:drawing>
            </w:r>
          </w:p>
          <w:p w14:paraId="4EFA75EF" w14:textId="7CA323A8" w:rsidR="000F55E9" w:rsidRPr="00A15711" w:rsidRDefault="000F55E9" w:rsidP="00DF23A5">
            <w:pPr>
              <w:rPr>
                <w:iCs/>
                <w:color w:val="auto"/>
                <w:sz w:val="22"/>
              </w:rPr>
            </w:pPr>
            <w:r w:rsidRPr="00A15711">
              <w:rPr>
                <w:iCs/>
                <w:color w:val="auto"/>
                <w:sz w:val="22"/>
              </w:rPr>
              <w:t>As is evident by the 2 images above, that although numbers of disadvantaged that surround the school remain in the “green” zone – over the past 10 years, numbers of deprivation ha</w:t>
            </w:r>
            <w:r w:rsidR="00462140">
              <w:rPr>
                <w:iCs/>
                <w:color w:val="auto"/>
                <w:sz w:val="22"/>
              </w:rPr>
              <w:t xml:space="preserve">ve </w:t>
            </w:r>
            <w:r w:rsidRPr="00A15711">
              <w:rPr>
                <w:iCs/>
                <w:color w:val="auto"/>
                <w:sz w:val="22"/>
              </w:rPr>
              <w:t xml:space="preserve">increased within our catchment area. </w:t>
            </w:r>
          </w:p>
          <w:p w14:paraId="4369EF43" w14:textId="6E690BE6" w:rsidR="00516B4F" w:rsidRPr="00A15711" w:rsidRDefault="00774A76" w:rsidP="00DF23A5">
            <w:pPr>
              <w:rPr>
                <w:iCs/>
                <w:color w:val="auto"/>
                <w:sz w:val="22"/>
              </w:rPr>
            </w:pPr>
            <w:r w:rsidRPr="00A15711">
              <w:rPr>
                <w:iCs/>
                <w:color w:val="auto"/>
                <w:sz w:val="22"/>
              </w:rPr>
              <w:t xml:space="preserve">Our </w:t>
            </w:r>
            <w:r w:rsidR="00516B4F" w:rsidRPr="00A15711">
              <w:rPr>
                <w:iCs/>
                <w:color w:val="auto"/>
                <w:sz w:val="22"/>
              </w:rPr>
              <w:t>intention</w:t>
            </w:r>
            <w:r w:rsidRPr="00A15711">
              <w:rPr>
                <w:iCs/>
                <w:color w:val="auto"/>
                <w:sz w:val="22"/>
              </w:rPr>
              <w:t xml:space="preserve"> at Oakley Vale Primary School is that our disadvantaged pupils </w:t>
            </w:r>
            <w:r w:rsidR="00516B4F" w:rsidRPr="00A15711">
              <w:rPr>
                <w:iCs/>
                <w:color w:val="auto"/>
                <w:sz w:val="22"/>
              </w:rPr>
              <w:t xml:space="preserve">(irrespective of their backgrounds or starting points) </w:t>
            </w:r>
            <w:r w:rsidRPr="00A15711">
              <w:rPr>
                <w:iCs/>
                <w:color w:val="auto"/>
                <w:sz w:val="22"/>
              </w:rPr>
              <w:t xml:space="preserve">feel happy, have a sense of belonging and </w:t>
            </w:r>
            <w:r w:rsidR="00516B4F" w:rsidRPr="00A15711">
              <w:rPr>
                <w:iCs/>
                <w:color w:val="auto"/>
                <w:sz w:val="22"/>
              </w:rPr>
              <w:t>make good progress and high attainment across all subject areas</w:t>
            </w:r>
            <w:r w:rsidRPr="00A15711">
              <w:rPr>
                <w:iCs/>
                <w:color w:val="auto"/>
                <w:sz w:val="22"/>
              </w:rPr>
              <w:t xml:space="preserve">. </w:t>
            </w:r>
            <w:r w:rsidR="00516B4F" w:rsidRPr="00A15711">
              <w:rPr>
                <w:iCs/>
                <w:color w:val="auto"/>
                <w:sz w:val="22"/>
              </w:rPr>
              <w:t xml:space="preserve">The focus of our pupil premium strategy is to ensure that they achieve this goal, including ensuring those who are already high attainers make outstanding progress. </w:t>
            </w:r>
          </w:p>
          <w:p w14:paraId="67B3CFC8" w14:textId="0AB558F6" w:rsidR="00DF23A5" w:rsidRPr="00A15711" w:rsidRDefault="00774A76" w:rsidP="00DF23A5">
            <w:pPr>
              <w:rPr>
                <w:iCs/>
                <w:color w:val="auto"/>
                <w:sz w:val="22"/>
              </w:rPr>
            </w:pPr>
            <w:r w:rsidRPr="00A15711">
              <w:rPr>
                <w:iCs/>
                <w:color w:val="auto"/>
                <w:sz w:val="22"/>
              </w:rPr>
              <w:t>We believe that our disadvantaged pupils should feel equal to all our pupils at the school. We want all of our pupils to feel like school is a safe place</w:t>
            </w:r>
            <w:r w:rsidR="00462140">
              <w:rPr>
                <w:iCs/>
                <w:color w:val="auto"/>
                <w:sz w:val="22"/>
              </w:rPr>
              <w:t>,</w:t>
            </w:r>
            <w:r w:rsidRPr="00A15711">
              <w:rPr>
                <w:iCs/>
                <w:color w:val="auto"/>
                <w:sz w:val="22"/>
              </w:rPr>
              <w:t xml:space="preserve"> whilst gaining life skills and broadening their cultural capital. We believe that we should enable our children to develop their hobbies and interests</w:t>
            </w:r>
            <w:r w:rsidR="001E2523" w:rsidRPr="00A15711">
              <w:rPr>
                <w:iCs/>
                <w:color w:val="auto"/>
                <w:sz w:val="22"/>
              </w:rPr>
              <w:t>.</w:t>
            </w:r>
          </w:p>
          <w:p w14:paraId="1315F6A2" w14:textId="77777777" w:rsidR="00516B4F" w:rsidRPr="00A15711" w:rsidRDefault="00E31AFA" w:rsidP="00E31AFA">
            <w:pPr>
              <w:jc w:val="both"/>
              <w:rPr>
                <w:iCs/>
                <w:color w:val="auto"/>
                <w:sz w:val="22"/>
              </w:rPr>
            </w:pPr>
            <w:r w:rsidRPr="00A15711">
              <w:rPr>
                <w:iCs/>
                <w:color w:val="auto"/>
                <w:sz w:val="22"/>
              </w:rPr>
              <w:t>First and foremost, w</w:t>
            </w:r>
            <w:r w:rsidR="00516B4F" w:rsidRPr="00A15711">
              <w:rPr>
                <w:iCs/>
                <w:color w:val="auto"/>
                <w:sz w:val="22"/>
              </w:rPr>
              <w:t xml:space="preserve">e believe that the </w:t>
            </w:r>
            <w:r w:rsidRPr="00A15711">
              <w:rPr>
                <w:iCs/>
                <w:color w:val="auto"/>
                <w:sz w:val="22"/>
              </w:rPr>
              <w:t>driver of our approach is quality first teaching where every chil</w:t>
            </w:r>
            <w:r w:rsidR="0035667A" w:rsidRPr="00A15711">
              <w:rPr>
                <w:iCs/>
                <w:color w:val="auto"/>
                <w:sz w:val="22"/>
              </w:rPr>
              <w:t xml:space="preserve">d’s needs will be met regardless of whether they are disadvantaged or not. This approach is deemed to be the most successful in closing gaps and at the same time will benefit non-disadvantaged pupils’ attainment. </w:t>
            </w:r>
          </w:p>
          <w:p w14:paraId="1B14A918" w14:textId="68B99E36" w:rsidR="0035667A" w:rsidRPr="00A15711" w:rsidRDefault="0035667A" w:rsidP="00E31AFA">
            <w:pPr>
              <w:jc w:val="both"/>
              <w:rPr>
                <w:iCs/>
                <w:color w:val="auto"/>
                <w:sz w:val="22"/>
              </w:rPr>
            </w:pPr>
            <w:r w:rsidRPr="00A15711">
              <w:rPr>
                <w:iCs/>
                <w:color w:val="auto"/>
                <w:sz w:val="22"/>
              </w:rPr>
              <w:t>Our strategy will work alongside other recovery strategies for education such as target</w:t>
            </w:r>
            <w:r w:rsidR="00203DAA">
              <w:rPr>
                <w:iCs/>
                <w:color w:val="auto"/>
                <w:sz w:val="22"/>
              </w:rPr>
              <w:t xml:space="preserve">ing </w:t>
            </w:r>
            <w:r w:rsidRPr="00A15711">
              <w:rPr>
                <w:iCs/>
                <w:color w:val="auto"/>
                <w:sz w:val="22"/>
              </w:rPr>
              <w:t xml:space="preserve">those who have been most affected by the pandemic, including those who are disadvantaged and those whose who are not. </w:t>
            </w:r>
          </w:p>
          <w:p w14:paraId="2A7D54E9" w14:textId="5DADA673" w:rsidR="004631AE" w:rsidRPr="00DF23A5" w:rsidRDefault="0035667A" w:rsidP="00591CAA">
            <w:pPr>
              <w:jc w:val="both"/>
              <w:rPr>
                <w:iCs/>
                <w:color w:val="0070C0"/>
              </w:rPr>
            </w:pPr>
            <w:r w:rsidRPr="00A15711">
              <w:rPr>
                <w:iCs/>
                <w:color w:val="auto"/>
                <w:sz w:val="22"/>
              </w:rPr>
              <w:t xml:space="preserve">Our tiered approach (QFT, targeted academic support and wider approaches) will address the common challenges and needs of individual pupils to ensure that the gaps in attainment are closed and progress is made.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rsidRPr="0000752C" w14:paraId="2A7D54F2" w14:textId="77777777" w:rsidTr="007D7FA7">
        <w:trPr>
          <w:trHeight w:val="1797"/>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A15711" w:rsidRDefault="009D71E8">
            <w:pPr>
              <w:pStyle w:val="TableRow"/>
              <w:rPr>
                <w:sz w:val="22"/>
                <w:szCs w:val="22"/>
              </w:rPr>
            </w:pPr>
            <w:r w:rsidRPr="00A15711">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3DF2F34" w:rsidR="00E66558" w:rsidRPr="00A15711" w:rsidRDefault="00352652" w:rsidP="007D7FA7">
            <w:pPr>
              <w:shd w:val="clear" w:color="auto" w:fill="FFFFFF"/>
              <w:suppressAutoHyphens w:val="0"/>
              <w:spacing w:after="0" w:line="240" w:lineRule="auto"/>
              <w:textAlignment w:val="baseline"/>
              <w:rPr>
                <w:sz w:val="22"/>
              </w:rPr>
            </w:pPr>
            <w:r w:rsidRPr="00A15711">
              <w:rPr>
                <w:sz w:val="22"/>
              </w:rPr>
              <w:t>Observations and evidence indicate that s</w:t>
            </w:r>
            <w:r w:rsidR="001E2523" w:rsidRPr="00A15711">
              <w:rPr>
                <w:sz w:val="22"/>
              </w:rPr>
              <w:t>ome of our disadvantaged children have multi-vulnerabilities such as SEND (</w:t>
            </w:r>
            <w:r w:rsidR="00462140">
              <w:rPr>
                <w:sz w:val="22"/>
              </w:rPr>
              <w:t>37.2%</w:t>
            </w:r>
            <w:r w:rsidR="001E2523" w:rsidRPr="00A15711">
              <w:rPr>
                <w:sz w:val="22"/>
              </w:rPr>
              <w:t xml:space="preserve">) and </w:t>
            </w:r>
            <w:proofErr w:type="gramStart"/>
            <w:r w:rsidR="001E2523" w:rsidRPr="00A15711">
              <w:rPr>
                <w:sz w:val="22"/>
              </w:rPr>
              <w:t>EAL(</w:t>
            </w:r>
            <w:proofErr w:type="gramEnd"/>
            <w:r w:rsidR="00462140">
              <w:rPr>
                <w:sz w:val="22"/>
              </w:rPr>
              <w:t>13.7</w:t>
            </w:r>
            <w:r w:rsidR="001E2523" w:rsidRPr="00A15711">
              <w:rPr>
                <w:sz w:val="22"/>
              </w:rPr>
              <w:t>%)</w:t>
            </w:r>
            <w:r w:rsidR="000A5E66" w:rsidRPr="00A15711">
              <w:rPr>
                <w:sz w:val="22"/>
              </w:rPr>
              <w:t xml:space="preserve">. </w:t>
            </w:r>
            <w:r w:rsidRPr="00A15711">
              <w:rPr>
                <w:sz w:val="22"/>
              </w:rPr>
              <w:t xml:space="preserve">These are in existence from the early stages of school through to the end of KS2. In some year groups, there are significant multi-vulnerabilities such as </w:t>
            </w:r>
            <w:r w:rsidR="00196329">
              <w:rPr>
                <w:sz w:val="22"/>
              </w:rPr>
              <w:t>Y2 (55%), Y5 (54%) and Y6</w:t>
            </w:r>
            <w:r w:rsidR="00F450F7">
              <w:rPr>
                <w:sz w:val="22"/>
              </w:rPr>
              <w:t xml:space="preserve"> </w:t>
            </w:r>
            <w:r w:rsidR="00196329">
              <w:rPr>
                <w:sz w:val="22"/>
              </w:rPr>
              <w:t xml:space="preserve">(45%) </w:t>
            </w:r>
            <w:r w:rsidRPr="00A15711">
              <w:rPr>
                <w:sz w:val="22"/>
              </w:rPr>
              <w:t>where pupils also have SEND</w:t>
            </w:r>
            <w:r w:rsidR="00196329">
              <w:rPr>
                <w:sz w:val="22"/>
              </w:rPr>
              <w:t xml:space="preserve"> and/or EAL</w:t>
            </w:r>
            <w:r w:rsidRPr="00A15711">
              <w:rPr>
                <w:sz w:val="22"/>
              </w:rPr>
              <w:t xml:space="preserve">. </w:t>
            </w:r>
            <w:r w:rsidR="00133DC2" w:rsidRPr="00A15711">
              <w:rPr>
                <w:sz w:val="22"/>
              </w:rPr>
              <w:t xml:space="preserve">Although our </w:t>
            </w:r>
            <w:r w:rsidR="003045E4">
              <w:rPr>
                <w:sz w:val="22"/>
              </w:rPr>
              <w:t xml:space="preserve">SEND </w:t>
            </w:r>
            <w:r w:rsidR="00133DC2" w:rsidRPr="00A15711">
              <w:rPr>
                <w:sz w:val="22"/>
              </w:rPr>
              <w:t>register addresses all 4 areas of need, the greatest area of need i</w:t>
            </w:r>
            <w:r w:rsidR="00CA2AAF" w:rsidRPr="00A15711">
              <w:rPr>
                <w:sz w:val="22"/>
              </w:rPr>
              <w:t>s</w:t>
            </w:r>
            <w:r w:rsidR="007D7FA7" w:rsidRPr="00A15711">
              <w:rPr>
                <w:sz w:val="22"/>
              </w:rPr>
              <w:t xml:space="preserve"> ‘</w:t>
            </w:r>
            <w:r w:rsidR="007D7FA7" w:rsidRPr="00A15711">
              <w:rPr>
                <w:rFonts w:cs="Arial"/>
                <w:color w:val="000000"/>
                <w:sz w:val="22"/>
              </w:rPr>
              <w:t>Communication and Interaction’ (including speech and language).</w:t>
            </w:r>
            <w:r w:rsidR="007D7FA7" w:rsidRPr="00A15711">
              <w:rPr>
                <w:rFonts w:ascii="Calibri" w:hAnsi="Calibri" w:cs="Calibri"/>
                <w:color w:val="000000"/>
                <w:sz w:val="22"/>
              </w:rPr>
              <w:t xml:space="preserve"> </w:t>
            </w:r>
          </w:p>
        </w:tc>
      </w:tr>
      <w:tr w:rsidR="00BB3A9F" w:rsidRPr="0000752C" w14:paraId="393CB49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A9828" w14:textId="68E83B80" w:rsidR="00BB3A9F" w:rsidRPr="00A15711" w:rsidRDefault="00BB3A9F">
            <w:pPr>
              <w:pStyle w:val="TableRow"/>
              <w:rPr>
                <w:sz w:val="22"/>
                <w:szCs w:val="22"/>
              </w:rPr>
            </w:pPr>
            <w:r w:rsidRPr="00A15711">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BDE52" w14:textId="26EEE91F" w:rsidR="00BB3A9F" w:rsidRPr="00A15711" w:rsidRDefault="004631AE">
            <w:pPr>
              <w:pStyle w:val="TableRowCentered"/>
              <w:jc w:val="left"/>
              <w:rPr>
                <w:sz w:val="22"/>
              </w:rPr>
            </w:pPr>
            <w:r w:rsidRPr="00A15711">
              <w:rPr>
                <w:sz w:val="22"/>
              </w:rPr>
              <w:t>Internal assessments indicate that Reading</w:t>
            </w:r>
            <w:r w:rsidR="00456623" w:rsidRPr="00A15711">
              <w:rPr>
                <w:sz w:val="22"/>
              </w:rPr>
              <w:t xml:space="preserve"> </w:t>
            </w:r>
            <w:r w:rsidRPr="00A15711">
              <w:rPr>
                <w:sz w:val="22"/>
              </w:rPr>
              <w:t xml:space="preserve">attainment in most year groups is below </w:t>
            </w:r>
            <w:r w:rsidR="007D7FA7" w:rsidRPr="00A15711">
              <w:rPr>
                <w:sz w:val="22"/>
              </w:rPr>
              <w:t xml:space="preserve">that of their peers. </w:t>
            </w:r>
            <w:r w:rsidR="00456623" w:rsidRPr="00A15711">
              <w:rPr>
                <w:sz w:val="22"/>
              </w:rPr>
              <w:t xml:space="preserve"> </w:t>
            </w:r>
          </w:p>
        </w:tc>
      </w:tr>
      <w:tr w:rsidR="001A2822" w:rsidRPr="0000752C" w14:paraId="5812C21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DF5E3" w14:textId="4EB3B55A" w:rsidR="001A2822" w:rsidRPr="00A15711" w:rsidRDefault="001A2822">
            <w:pPr>
              <w:pStyle w:val="TableRow"/>
              <w:rPr>
                <w:sz w:val="22"/>
                <w:szCs w:val="22"/>
              </w:rPr>
            </w:pPr>
            <w:r w:rsidRPr="00A15711">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ECE72" w14:textId="3F83A483" w:rsidR="001A2822" w:rsidRPr="00A15711" w:rsidRDefault="001A2822">
            <w:pPr>
              <w:pStyle w:val="TableRowCentered"/>
              <w:jc w:val="left"/>
              <w:rPr>
                <w:sz w:val="22"/>
              </w:rPr>
            </w:pPr>
            <w:r w:rsidRPr="00A15711">
              <w:rPr>
                <w:sz w:val="22"/>
              </w:rPr>
              <w:t xml:space="preserve">According to teacher- based assessments, observations and discussions with staff, </w:t>
            </w:r>
            <w:proofErr w:type="gramStart"/>
            <w:r w:rsidRPr="00A15711">
              <w:rPr>
                <w:sz w:val="22"/>
              </w:rPr>
              <w:t>Writing</w:t>
            </w:r>
            <w:proofErr w:type="gramEnd"/>
            <w:r w:rsidRPr="00A15711">
              <w:rPr>
                <w:sz w:val="22"/>
              </w:rPr>
              <w:t xml:space="preserve"> attainment </w:t>
            </w:r>
            <w:r w:rsidR="0029569C" w:rsidRPr="00A15711">
              <w:rPr>
                <w:sz w:val="22"/>
              </w:rPr>
              <w:t xml:space="preserve">is </w:t>
            </w:r>
            <w:r w:rsidR="00960C35" w:rsidRPr="00A15711">
              <w:rPr>
                <w:sz w:val="22"/>
              </w:rPr>
              <w:t>a challeng</w:t>
            </w:r>
            <w:r w:rsidR="001168C9" w:rsidRPr="00A15711">
              <w:rPr>
                <w:sz w:val="22"/>
              </w:rPr>
              <w:t>e t</w:t>
            </w:r>
            <w:r w:rsidR="00960C35" w:rsidRPr="00A15711">
              <w:rPr>
                <w:sz w:val="22"/>
              </w:rPr>
              <w:t xml:space="preserve">o all pupils including those who are disadvantaged. </w:t>
            </w:r>
            <w:r w:rsidR="00133DC2" w:rsidRPr="00A15711">
              <w:rPr>
                <w:sz w:val="22"/>
              </w:rPr>
              <w:t>This is largely due t</w:t>
            </w:r>
            <w:r w:rsidR="00960C35" w:rsidRPr="00A15711">
              <w:rPr>
                <w:sz w:val="22"/>
              </w:rPr>
              <w:t>o the impact of COVID-19 and a much-reduced opportunity to write at length</w:t>
            </w:r>
            <w:r w:rsidR="001168C9" w:rsidRPr="00A15711">
              <w:rPr>
                <w:sz w:val="22"/>
              </w:rPr>
              <w:t xml:space="preserve"> as a result. </w:t>
            </w:r>
          </w:p>
        </w:tc>
      </w:tr>
      <w:tr w:rsidR="00960C35" w:rsidRPr="0000752C" w14:paraId="422A293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CC59F" w14:textId="5242BD34" w:rsidR="00960C35" w:rsidRPr="00A15711" w:rsidRDefault="00960C35" w:rsidP="00960C35">
            <w:pPr>
              <w:pStyle w:val="TableRow"/>
              <w:rPr>
                <w:sz w:val="22"/>
                <w:szCs w:val="22"/>
              </w:rPr>
            </w:pPr>
            <w:r w:rsidRPr="00A15711">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62D71" w14:textId="46E20685" w:rsidR="00960C35" w:rsidRPr="00A15711" w:rsidRDefault="00960C35" w:rsidP="00960C35">
            <w:pPr>
              <w:pStyle w:val="TableRowCentered"/>
              <w:jc w:val="left"/>
              <w:rPr>
                <w:sz w:val="22"/>
              </w:rPr>
            </w:pPr>
            <w:r w:rsidRPr="00A15711">
              <w:rPr>
                <w:rFonts w:cs="Arial"/>
                <w:iCs/>
                <w:color w:val="auto"/>
                <w:sz w:val="22"/>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tc>
      </w:tr>
      <w:tr w:rsidR="00E66558" w:rsidRPr="0000752C"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6384F2DC" w:rsidR="00E66558" w:rsidRPr="00A15711" w:rsidRDefault="00960C35">
            <w:pPr>
              <w:pStyle w:val="TableRow"/>
              <w:rPr>
                <w:sz w:val="22"/>
                <w:szCs w:val="22"/>
              </w:rPr>
            </w:pPr>
            <w:r w:rsidRPr="00A15711">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66F78A3" w:rsidR="006B58BB" w:rsidRPr="00A15711" w:rsidRDefault="002C2553" w:rsidP="006B58BB">
            <w:pPr>
              <w:pStyle w:val="TableRowCentered"/>
              <w:jc w:val="left"/>
              <w:rPr>
                <w:sz w:val="22"/>
                <w:szCs w:val="22"/>
              </w:rPr>
            </w:pPr>
            <w:r w:rsidRPr="00A15711">
              <w:rPr>
                <w:sz w:val="22"/>
                <w:szCs w:val="22"/>
              </w:rPr>
              <w:t>According to pupil voice, SEMH surveys and discussions with c</w:t>
            </w:r>
            <w:r w:rsidR="000A5E66" w:rsidRPr="00A15711">
              <w:rPr>
                <w:sz w:val="22"/>
                <w:szCs w:val="22"/>
              </w:rPr>
              <w:t xml:space="preserve">hildren have </w:t>
            </w:r>
            <w:r w:rsidR="006B58BB" w:rsidRPr="00A15711">
              <w:rPr>
                <w:sz w:val="22"/>
                <w:szCs w:val="22"/>
              </w:rPr>
              <w:t xml:space="preserve">demonstrated </w:t>
            </w:r>
            <w:r w:rsidR="000A5E66" w:rsidRPr="00A15711">
              <w:rPr>
                <w:sz w:val="22"/>
                <w:szCs w:val="22"/>
              </w:rPr>
              <w:t>poor social and emotional skills</w:t>
            </w:r>
            <w:r w:rsidRPr="00A15711">
              <w:rPr>
                <w:sz w:val="22"/>
                <w:szCs w:val="22"/>
              </w:rPr>
              <w:t xml:space="preserve">, can lack resilience/confidence and have low self-esteem. </w:t>
            </w:r>
            <w:r w:rsidR="00303440">
              <w:rPr>
                <w:sz w:val="22"/>
                <w:szCs w:val="22"/>
              </w:rPr>
              <w:t xml:space="preserve">As a result of COVID-19, there has been an increase in this area. </w:t>
            </w:r>
            <w:r w:rsidR="006B58BB" w:rsidRPr="00A15711">
              <w:rPr>
                <w:rFonts w:cs="Arial"/>
                <w:color w:val="auto"/>
                <w:sz w:val="22"/>
              </w:rPr>
              <w:t xml:space="preserve">Many of our disadvantaged pupils have been impacted by partial school closures to a greater extent than for other pupils. These findings are supported by national studies. </w:t>
            </w:r>
          </w:p>
        </w:tc>
      </w:tr>
      <w:tr w:rsidR="00E66558" w:rsidRPr="0000752C"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17EE6E4" w:rsidR="00E66558" w:rsidRPr="00A15711" w:rsidRDefault="00960C35">
            <w:pPr>
              <w:pStyle w:val="TableRow"/>
              <w:rPr>
                <w:sz w:val="22"/>
                <w:szCs w:val="22"/>
              </w:rPr>
            </w:pPr>
            <w:r w:rsidRPr="00A15711">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B596571" w:rsidR="00E66558" w:rsidRPr="00A15711" w:rsidRDefault="002C2553">
            <w:pPr>
              <w:pStyle w:val="TableRowCentered"/>
              <w:jc w:val="left"/>
              <w:rPr>
                <w:iCs/>
                <w:sz w:val="22"/>
              </w:rPr>
            </w:pPr>
            <w:r w:rsidRPr="00610C90">
              <w:rPr>
                <w:iCs/>
                <w:sz w:val="22"/>
              </w:rPr>
              <w:t>Early intervention trackers</w:t>
            </w:r>
            <w:r w:rsidRPr="00A15711">
              <w:rPr>
                <w:iCs/>
                <w:sz w:val="22"/>
              </w:rPr>
              <w:t xml:space="preserve"> demonstrate that there are often low-levels of </w:t>
            </w:r>
            <w:r w:rsidR="000A5E66" w:rsidRPr="00A15711">
              <w:rPr>
                <w:iCs/>
                <w:sz w:val="22"/>
              </w:rPr>
              <w:t xml:space="preserve">engagement </w:t>
            </w:r>
            <w:r w:rsidRPr="00A15711">
              <w:rPr>
                <w:iCs/>
                <w:sz w:val="22"/>
              </w:rPr>
              <w:t>from</w:t>
            </w:r>
            <w:r w:rsidR="006B58BB" w:rsidRPr="00A15711">
              <w:rPr>
                <w:iCs/>
                <w:sz w:val="22"/>
              </w:rPr>
              <w:t xml:space="preserve"> pupils </w:t>
            </w:r>
            <w:r w:rsidR="00BE4A95" w:rsidRPr="00A15711">
              <w:rPr>
                <w:iCs/>
                <w:sz w:val="22"/>
              </w:rPr>
              <w:t xml:space="preserve">(including attitude to learning) </w:t>
            </w:r>
            <w:r w:rsidR="006B58BB" w:rsidRPr="00A15711">
              <w:rPr>
                <w:iCs/>
                <w:sz w:val="22"/>
              </w:rPr>
              <w:t xml:space="preserve">and </w:t>
            </w:r>
            <w:r w:rsidR="00BE4A95" w:rsidRPr="00A15711">
              <w:rPr>
                <w:iCs/>
                <w:sz w:val="22"/>
              </w:rPr>
              <w:t xml:space="preserve">a lack of engagement from </w:t>
            </w:r>
            <w:r w:rsidR="006B58BB" w:rsidRPr="00A15711">
              <w:rPr>
                <w:iCs/>
                <w:sz w:val="22"/>
              </w:rPr>
              <w:t xml:space="preserve">families of </w:t>
            </w:r>
            <w:r w:rsidRPr="00A15711">
              <w:rPr>
                <w:iCs/>
                <w:sz w:val="22"/>
              </w:rPr>
              <w:t xml:space="preserve">disadvantaged </w:t>
            </w:r>
            <w:r w:rsidR="006B58BB" w:rsidRPr="00A15711">
              <w:rPr>
                <w:iCs/>
                <w:sz w:val="22"/>
              </w:rPr>
              <w:t xml:space="preserve">pupils. </w:t>
            </w:r>
          </w:p>
        </w:tc>
      </w:tr>
      <w:tr w:rsidR="000A5E66" w:rsidRPr="0000752C" w14:paraId="0949023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7EC8C" w14:textId="09861B5A" w:rsidR="000A5E66" w:rsidRPr="00A15711" w:rsidRDefault="00960C35">
            <w:pPr>
              <w:pStyle w:val="TableRow"/>
              <w:rPr>
                <w:sz w:val="22"/>
                <w:szCs w:val="22"/>
              </w:rPr>
            </w:pPr>
            <w:bookmarkStart w:id="16" w:name="_Toc443397160"/>
            <w:r w:rsidRPr="00A15711">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79153" w14:textId="0270C08F" w:rsidR="001168C9" w:rsidRPr="00A15711" w:rsidRDefault="000A5E66" w:rsidP="001168C9">
            <w:pPr>
              <w:pStyle w:val="TableRowCentered"/>
              <w:ind w:left="0"/>
              <w:jc w:val="left"/>
              <w:rPr>
                <w:rFonts w:cs="Arial"/>
                <w:iCs/>
                <w:sz w:val="22"/>
              </w:rPr>
            </w:pPr>
            <w:r w:rsidRPr="00A15711">
              <w:rPr>
                <w:rFonts w:cs="Arial"/>
                <w:iCs/>
                <w:sz w:val="22"/>
              </w:rPr>
              <w:t xml:space="preserve">Attendance and punctuality </w:t>
            </w:r>
            <w:r w:rsidR="00303440">
              <w:rPr>
                <w:rFonts w:cs="Arial"/>
                <w:iCs/>
                <w:sz w:val="22"/>
              </w:rPr>
              <w:t>can be</w:t>
            </w:r>
            <w:r w:rsidRPr="00A15711">
              <w:rPr>
                <w:rFonts w:cs="Arial"/>
                <w:iCs/>
                <w:sz w:val="22"/>
              </w:rPr>
              <w:t xml:space="preserve"> a challenge</w:t>
            </w:r>
            <w:r w:rsidR="00303440">
              <w:rPr>
                <w:rFonts w:cs="Arial"/>
                <w:iCs/>
                <w:sz w:val="22"/>
              </w:rPr>
              <w:t>,</w:t>
            </w:r>
            <w:r w:rsidRPr="00A15711">
              <w:rPr>
                <w:rFonts w:cs="Arial"/>
                <w:iCs/>
                <w:sz w:val="22"/>
              </w:rPr>
              <w:t xml:space="preserve"> in ensuring that children are attending school and on time the majority of the time. </w:t>
            </w:r>
          </w:p>
          <w:p w14:paraId="5E431A82" w14:textId="32B542C3" w:rsidR="00A33C55" w:rsidRPr="00A15711" w:rsidRDefault="00A33C55" w:rsidP="001168C9">
            <w:pPr>
              <w:pStyle w:val="NormalWeb"/>
              <w:shd w:val="clear" w:color="auto" w:fill="FFFFFF"/>
              <w:spacing w:before="0" w:beforeAutospacing="0" w:after="0" w:afterAutospacing="0"/>
              <w:rPr>
                <w:rFonts w:ascii="Arial" w:hAnsi="Arial" w:cs="Arial"/>
                <w:iCs/>
                <w:sz w:val="22"/>
              </w:rPr>
            </w:pPr>
            <w:r w:rsidRPr="00A15711">
              <w:rPr>
                <w:rFonts w:ascii="Arial" w:hAnsi="Arial" w:cs="Arial"/>
                <w:iCs/>
                <w:sz w:val="22"/>
              </w:rPr>
              <w:t xml:space="preserve">Our attendance data over the last year indicated that attendance among disadvantaged pupils has been </w:t>
            </w:r>
            <w:r w:rsidR="00D174BF" w:rsidRPr="00D174BF">
              <w:rPr>
                <w:rFonts w:ascii="Arial" w:hAnsi="Arial" w:cs="Arial"/>
                <w:iCs/>
                <w:sz w:val="22"/>
              </w:rPr>
              <w:t>3.97</w:t>
            </w:r>
            <w:r w:rsidRPr="00D174BF">
              <w:rPr>
                <w:rFonts w:ascii="Arial" w:hAnsi="Arial" w:cs="Arial"/>
                <w:iCs/>
                <w:sz w:val="22"/>
              </w:rPr>
              <w:t>%</w:t>
            </w:r>
            <w:r w:rsidRPr="00A15711">
              <w:rPr>
                <w:rFonts w:ascii="Arial" w:hAnsi="Arial" w:cs="Arial"/>
                <w:iCs/>
                <w:sz w:val="22"/>
              </w:rPr>
              <w:t xml:space="preserve"> lower than for non-disadvantaged pupils. </w:t>
            </w:r>
          </w:p>
          <w:p w14:paraId="1F9A9B6A" w14:textId="692E6A46" w:rsidR="00A33C55" w:rsidRPr="00D174BF" w:rsidRDefault="001168C9" w:rsidP="00A33C55">
            <w:pPr>
              <w:pStyle w:val="TableRowCentered"/>
              <w:ind w:left="0"/>
              <w:jc w:val="both"/>
              <w:rPr>
                <w:rFonts w:cs="Arial"/>
                <w:iCs/>
                <w:sz w:val="22"/>
              </w:rPr>
            </w:pPr>
            <w:r w:rsidRPr="00A15711">
              <w:rPr>
                <w:rFonts w:cs="Arial"/>
                <w:iCs/>
                <w:sz w:val="22"/>
              </w:rPr>
              <w:t xml:space="preserve">According to our attendance data </w:t>
            </w:r>
            <w:r w:rsidR="00CA3B7F">
              <w:rPr>
                <w:rFonts w:cs="Arial"/>
                <w:iCs/>
                <w:sz w:val="22"/>
              </w:rPr>
              <w:t xml:space="preserve">over the last </w:t>
            </w:r>
            <w:r w:rsidRPr="00A15711">
              <w:rPr>
                <w:rFonts w:cs="Arial"/>
                <w:iCs/>
                <w:sz w:val="22"/>
              </w:rPr>
              <w:t xml:space="preserve">year, </w:t>
            </w:r>
            <w:r w:rsidR="00D174BF" w:rsidRPr="00B27FA6">
              <w:rPr>
                <w:rFonts w:cs="Arial"/>
                <w:iCs/>
                <w:sz w:val="22"/>
              </w:rPr>
              <w:t>30.4</w:t>
            </w:r>
            <w:r w:rsidR="00A33C55" w:rsidRPr="00A15711">
              <w:rPr>
                <w:rFonts w:cs="Arial"/>
                <w:iCs/>
                <w:sz w:val="22"/>
              </w:rPr>
              <w:t>% of disadvantaged pupils have been ‘persistently absent’ compared to</w:t>
            </w:r>
            <w:r w:rsidR="00B27FA6">
              <w:rPr>
                <w:rFonts w:cs="Arial"/>
                <w:iCs/>
                <w:sz w:val="22"/>
              </w:rPr>
              <w:t xml:space="preserve"> </w:t>
            </w:r>
            <w:r w:rsidR="00D174BF">
              <w:rPr>
                <w:rFonts w:cs="Arial"/>
                <w:iCs/>
                <w:sz w:val="22"/>
              </w:rPr>
              <w:t>8</w:t>
            </w:r>
            <w:r w:rsidR="00A33C55" w:rsidRPr="00A15711">
              <w:rPr>
                <w:rFonts w:cs="Arial"/>
                <w:iCs/>
                <w:sz w:val="22"/>
              </w:rPr>
              <w:t xml:space="preserve">% of </w:t>
            </w:r>
            <w:r w:rsidR="00B27FA6">
              <w:rPr>
                <w:rFonts w:cs="Arial"/>
                <w:iCs/>
                <w:sz w:val="22"/>
              </w:rPr>
              <w:t>pupils who are not disadvantaged</w:t>
            </w:r>
            <w:r w:rsidR="00A33C55" w:rsidRPr="00A15711">
              <w:rPr>
                <w:rFonts w:cs="Arial"/>
                <w:iCs/>
                <w:sz w:val="22"/>
              </w:rPr>
              <w:t xml:space="preserve"> during that period. </w:t>
            </w:r>
          </w:p>
        </w:tc>
      </w:tr>
      <w:tr w:rsidR="00A30BE2" w:rsidRPr="0000752C" w14:paraId="7A3BF4F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E84C5" w14:textId="78D406D0" w:rsidR="00A30BE2" w:rsidRPr="00A15711" w:rsidRDefault="00960C35">
            <w:pPr>
              <w:pStyle w:val="TableRow"/>
              <w:rPr>
                <w:sz w:val="22"/>
                <w:szCs w:val="22"/>
              </w:rPr>
            </w:pPr>
            <w:r w:rsidRPr="00A15711">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83D14" w14:textId="2B2B8D57" w:rsidR="00A30BE2" w:rsidRPr="00A15711" w:rsidRDefault="001168C9">
            <w:pPr>
              <w:pStyle w:val="TableRowCentered"/>
              <w:jc w:val="left"/>
              <w:rPr>
                <w:iCs/>
                <w:sz w:val="22"/>
              </w:rPr>
            </w:pPr>
            <w:r w:rsidRPr="00A15711">
              <w:rPr>
                <w:iCs/>
                <w:sz w:val="22"/>
              </w:rPr>
              <w:t>Discussions with pupils and teachers indicate that our disadvantaged pupils are less likely to</w:t>
            </w:r>
            <w:r w:rsidR="00AD5A05" w:rsidRPr="00A15711">
              <w:rPr>
                <w:iCs/>
                <w:sz w:val="22"/>
              </w:rPr>
              <w:t xml:space="preserve"> be exposed to</w:t>
            </w:r>
            <w:r w:rsidRPr="00A15711">
              <w:rPr>
                <w:iCs/>
                <w:sz w:val="22"/>
              </w:rPr>
              <w:t xml:space="preserve"> </w:t>
            </w:r>
            <w:r w:rsidR="00303440">
              <w:rPr>
                <w:iCs/>
                <w:sz w:val="22"/>
              </w:rPr>
              <w:t xml:space="preserve">a broad range of life </w:t>
            </w:r>
            <w:r w:rsidRPr="00A15711">
              <w:rPr>
                <w:iCs/>
                <w:sz w:val="22"/>
              </w:rPr>
              <w:t>experience</w:t>
            </w:r>
            <w:r w:rsidR="00AD5A05" w:rsidRPr="00A15711">
              <w:rPr>
                <w:iCs/>
                <w:sz w:val="22"/>
              </w:rPr>
              <w:t>s</w:t>
            </w:r>
            <w:r w:rsidRPr="00A15711">
              <w:rPr>
                <w:iCs/>
                <w:sz w:val="22"/>
              </w:rPr>
              <w:t xml:space="preserve"> </w:t>
            </w:r>
            <w:r w:rsidR="00303440">
              <w:rPr>
                <w:iCs/>
                <w:sz w:val="22"/>
              </w:rPr>
              <w:t xml:space="preserve">and </w:t>
            </w:r>
            <w:r w:rsidR="006B58BB" w:rsidRPr="00A15711">
              <w:rPr>
                <w:iCs/>
                <w:sz w:val="22"/>
              </w:rPr>
              <w:t>cultural capital</w:t>
            </w:r>
            <w:r w:rsidRPr="00A15711">
              <w:rPr>
                <w:iCs/>
                <w:sz w:val="22"/>
              </w:rPr>
              <w:t xml:space="preserve">. </w:t>
            </w:r>
          </w:p>
        </w:tc>
      </w:tr>
    </w:tbl>
    <w:p w14:paraId="2A7D54FF" w14:textId="2D6D7769"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B7E9530" w:rsidR="00E66558" w:rsidRPr="00A15711" w:rsidRDefault="00D66757">
            <w:pPr>
              <w:pStyle w:val="TableRow"/>
              <w:rPr>
                <w:sz w:val="22"/>
              </w:rPr>
            </w:pPr>
            <w:r w:rsidRPr="00A15711">
              <w:rPr>
                <w:sz w:val="22"/>
              </w:rPr>
              <w:t>Improved provision for disadvantaged pupils with SEND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166E1" w14:textId="77777777" w:rsidR="00E66558" w:rsidRPr="00A15711" w:rsidRDefault="00D66757" w:rsidP="00D257F9">
            <w:pPr>
              <w:pStyle w:val="TableRowCentered"/>
              <w:numPr>
                <w:ilvl w:val="0"/>
                <w:numId w:val="15"/>
              </w:numPr>
              <w:jc w:val="left"/>
              <w:rPr>
                <w:sz w:val="22"/>
                <w:szCs w:val="22"/>
              </w:rPr>
            </w:pPr>
            <w:r w:rsidRPr="00A15711">
              <w:rPr>
                <w:sz w:val="22"/>
                <w:szCs w:val="22"/>
              </w:rPr>
              <w:t xml:space="preserve">Pupils with SEND have specific personalised strategies and personalised support is in place to ensure the pupils make progress in line with their starting points. </w:t>
            </w:r>
          </w:p>
          <w:p w14:paraId="1CED1DC1" w14:textId="77777777" w:rsidR="00B877AA" w:rsidRDefault="00D66757" w:rsidP="00365F64">
            <w:pPr>
              <w:pStyle w:val="TableRowCentered"/>
              <w:numPr>
                <w:ilvl w:val="0"/>
                <w:numId w:val="15"/>
              </w:numPr>
              <w:jc w:val="left"/>
              <w:rPr>
                <w:sz w:val="22"/>
                <w:szCs w:val="22"/>
              </w:rPr>
            </w:pPr>
            <w:r w:rsidRPr="00A15711">
              <w:rPr>
                <w:sz w:val="22"/>
                <w:szCs w:val="22"/>
              </w:rPr>
              <w:t>PP lead communicates effectively with SEN</w:t>
            </w:r>
            <w:r w:rsidR="006B4B8C" w:rsidRPr="00A15711">
              <w:rPr>
                <w:sz w:val="22"/>
                <w:szCs w:val="22"/>
              </w:rPr>
              <w:t>C</w:t>
            </w:r>
            <w:r w:rsidRPr="00A15711">
              <w:rPr>
                <w:sz w:val="22"/>
                <w:szCs w:val="22"/>
              </w:rPr>
              <w:t xml:space="preserve">O to ensure the needs of pupils are being met. </w:t>
            </w:r>
          </w:p>
          <w:p w14:paraId="2A7D5505" w14:textId="5B768C48" w:rsidR="00476F86" w:rsidRPr="00365F64" w:rsidRDefault="00476F86" w:rsidP="00365F64">
            <w:pPr>
              <w:pStyle w:val="TableRowCentered"/>
              <w:numPr>
                <w:ilvl w:val="0"/>
                <w:numId w:val="15"/>
              </w:numPr>
              <w:jc w:val="left"/>
              <w:rPr>
                <w:sz w:val="22"/>
                <w:szCs w:val="22"/>
              </w:rPr>
            </w:pPr>
            <w:r>
              <w:rPr>
                <w:sz w:val="22"/>
                <w:szCs w:val="22"/>
              </w:rPr>
              <w:t xml:space="preserve">PP Lead &amp; SENDCO to meet with staff members to discuss pupil barriers where there is a SEND &amp; disadvantaged need.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FEA84DE" w:rsidR="00E66558" w:rsidRPr="00A15711" w:rsidRDefault="00D66757">
            <w:pPr>
              <w:pStyle w:val="TableRow"/>
              <w:rPr>
                <w:sz w:val="22"/>
                <w:szCs w:val="22"/>
              </w:rPr>
            </w:pPr>
            <w:r w:rsidRPr="00A15711">
              <w:rPr>
                <w:sz w:val="22"/>
                <w:szCs w:val="22"/>
              </w:rPr>
              <w:t xml:space="preserve">Improved </w:t>
            </w:r>
            <w:r w:rsidR="000F258E" w:rsidRPr="00A15711">
              <w:rPr>
                <w:sz w:val="22"/>
                <w:szCs w:val="22"/>
              </w:rPr>
              <w:t xml:space="preserve">reading attainment among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12085" w14:textId="77777777" w:rsidR="00E66558" w:rsidRPr="00A15711" w:rsidRDefault="00176E04">
            <w:pPr>
              <w:pStyle w:val="TableRowCentered"/>
              <w:jc w:val="left"/>
              <w:rPr>
                <w:sz w:val="22"/>
                <w:szCs w:val="22"/>
              </w:rPr>
            </w:pPr>
            <w:r w:rsidRPr="00A15711">
              <w:rPr>
                <w:sz w:val="22"/>
                <w:szCs w:val="22"/>
              </w:rPr>
              <w:t xml:space="preserve">KS2 Reading outcomes in 24/25 show that more than </w:t>
            </w:r>
            <w:r w:rsidR="007D7FA7" w:rsidRPr="00A15711">
              <w:rPr>
                <w:sz w:val="22"/>
                <w:szCs w:val="22"/>
              </w:rPr>
              <w:t>75</w:t>
            </w:r>
            <w:r w:rsidRPr="00A15711">
              <w:rPr>
                <w:sz w:val="22"/>
                <w:szCs w:val="22"/>
              </w:rPr>
              <w:t>% of disadvantaged pupils met the expected standard</w:t>
            </w:r>
            <w:r w:rsidR="007D7FA7" w:rsidRPr="00A15711">
              <w:rPr>
                <w:sz w:val="22"/>
                <w:szCs w:val="22"/>
              </w:rPr>
              <w:t xml:space="preserve"> to be closer in line with their peers. </w:t>
            </w:r>
          </w:p>
          <w:p w14:paraId="3CAA1698" w14:textId="77777777" w:rsidR="007D7FA7" w:rsidRPr="00A15711" w:rsidRDefault="007D7FA7">
            <w:pPr>
              <w:pStyle w:val="TableRowCentered"/>
              <w:jc w:val="left"/>
              <w:rPr>
                <w:sz w:val="22"/>
                <w:szCs w:val="22"/>
              </w:rPr>
            </w:pPr>
          </w:p>
          <w:p w14:paraId="2A7D5508" w14:textId="10E140A3" w:rsidR="007D7FA7" w:rsidRPr="00A15711" w:rsidRDefault="007D7FA7">
            <w:pPr>
              <w:pStyle w:val="TableRowCentered"/>
              <w:jc w:val="left"/>
              <w:rPr>
                <w:i/>
                <w:sz w:val="22"/>
                <w:szCs w:val="22"/>
              </w:rPr>
            </w:pPr>
            <w:r w:rsidRPr="00A15711">
              <w:rPr>
                <w:i/>
                <w:sz w:val="22"/>
                <w:szCs w:val="22"/>
              </w:rPr>
              <w:t xml:space="preserve">2019 data shows that 80% of cohort achieved EXS standard or above in reading compared to 71% of PP pupils.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99E9D3D" w:rsidR="00E66558" w:rsidRPr="00A15711" w:rsidRDefault="000F258E">
            <w:pPr>
              <w:pStyle w:val="TableRow"/>
              <w:rPr>
                <w:sz w:val="22"/>
                <w:szCs w:val="22"/>
              </w:rPr>
            </w:pPr>
            <w:r w:rsidRPr="00A15711">
              <w:rPr>
                <w:sz w:val="22"/>
                <w:szCs w:val="22"/>
              </w:rPr>
              <w:t>Improved writing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07B364A" w:rsidR="00E66558" w:rsidRPr="00A15711" w:rsidRDefault="00176E04">
            <w:pPr>
              <w:pStyle w:val="TableRowCentered"/>
              <w:jc w:val="left"/>
              <w:rPr>
                <w:sz w:val="22"/>
                <w:szCs w:val="22"/>
              </w:rPr>
            </w:pPr>
            <w:r w:rsidRPr="00A15711">
              <w:rPr>
                <w:sz w:val="22"/>
                <w:szCs w:val="22"/>
              </w:rPr>
              <w:t xml:space="preserve">KS2 writing outcomes in 24/25 show that more than </w:t>
            </w:r>
            <w:r w:rsidR="006B58BB" w:rsidRPr="00A15711">
              <w:rPr>
                <w:sz w:val="22"/>
                <w:szCs w:val="22"/>
              </w:rPr>
              <w:t>68</w:t>
            </w:r>
            <w:r w:rsidRPr="00A15711">
              <w:rPr>
                <w:sz w:val="22"/>
                <w:szCs w:val="22"/>
              </w:rPr>
              <w:t>%</w:t>
            </w:r>
            <w:r w:rsidR="006B58BB" w:rsidRPr="00A15711">
              <w:rPr>
                <w:sz w:val="22"/>
                <w:szCs w:val="22"/>
              </w:rPr>
              <w:t xml:space="preserve"> (2019 national average)</w:t>
            </w:r>
            <w:r w:rsidRPr="00A15711">
              <w:rPr>
                <w:sz w:val="22"/>
                <w:szCs w:val="22"/>
              </w:rPr>
              <w:t xml:space="preserve"> of disadvantaged pupils met the expected standard</w:t>
            </w:r>
            <w:r w:rsidR="006B58BB" w:rsidRPr="00A15711">
              <w:rPr>
                <w:sz w:val="22"/>
                <w:szCs w:val="22"/>
              </w:rPr>
              <w:t xml:space="preserve"> in writing. </w:t>
            </w:r>
          </w:p>
        </w:tc>
      </w:tr>
      <w:tr w:rsidR="00B25744" w14:paraId="3B7A08C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E147B" w14:textId="6FE06AB2" w:rsidR="00B25744" w:rsidRPr="00A15711" w:rsidRDefault="00B25744" w:rsidP="00B25744">
            <w:pPr>
              <w:pStyle w:val="TableRow"/>
              <w:rPr>
                <w:sz w:val="22"/>
                <w:szCs w:val="22"/>
              </w:rPr>
            </w:pPr>
            <w:r w:rsidRPr="00A15711">
              <w:rPr>
                <w:rFonts w:cs="Arial"/>
                <w:color w:val="auto"/>
                <w:sz w:val="22"/>
              </w:rPr>
              <w:t xml:space="preserve">Improved oral language skills and vocabulary among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47644" w14:textId="0F6A1D09" w:rsidR="00B25744" w:rsidRPr="00A15711" w:rsidRDefault="00B25744" w:rsidP="00B25744">
            <w:pPr>
              <w:pStyle w:val="TableRowCentered"/>
              <w:jc w:val="left"/>
              <w:rPr>
                <w:sz w:val="22"/>
                <w:szCs w:val="22"/>
              </w:rPr>
            </w:pPr>
            <w:r w:rsidRPr="00A15711">
              <w:rPr>
                <w:rFonts w:cs="Arial"/>
                <w:color w:val="auto"/>
                <w:sz w:val="22"/>
              </w:rPr>
              <w:t xml:space="preserve">Assessments and observations indicate significantly improved oral language among disadvantaged pupils. </w:t>
            </w:r>
            <w:r w:rsidRPr="00A15711">
              <w:rPr>
                <w:color w:val="auto"/>
                <w:sz w:val="22"/>
              </w:rPr>
              <w:t>This is evident when triangulated with other sources of evidence, including engagement in lessons, book scrutiny and ongoing formative assessment.</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71394A8" w:rsidR="00E66558" w:rsidRPr="00A15711" w:rsidRDefault="00176E04">
            <w:pPr>
              <w:pStyle w:val="TableRow"/>
              <w:rPr>
                <w:sz w:val="22"/>
                <w:szCs w:val="22"/>
              </w:rPr>
            </w:pPr>
            <w:r w:rsidRPr="00A15711">
              <w:rPr>
                <w:sz w:val="22"/>
                <w:szCs w:val="22"/>
              </w:rPr>
              <w:t xml:space="preserve">To raise and </w:t>
            </w:r>
            <w:r w:rsidR="00AE4F8C" w:rsidRPr="00A15711">
              <w:rPr>
                <w:sz w:val="22"/>
                <w:szCs w:val="22"/>
              </w:rPr>
              <w:t xml:space="preserve">sustain improved SEMH (including wellbeing) for all pupils in school, particularly our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01D96" w14:textId="77777777" w:rsidR="00E66558" w:rsidRPr="00A15711" w:rsidRDefault="00AE4F8C" w:rsidP="00AE4F8C">
            <w:pPr>
              <w:pStyle w:val="TableRowCentered"/>
              <w:jc w:val="left"/>
              <w:rPr>
                <w:sz w:val="22"/>
                <w:szCs w:val="22"/>
              </w:rPr>
            </w:pPr>
            <w:r w:rsidRPr="00A15711">
              <w:rPr>
                <w:sz w:val="22"/>
                <w:szCs w:val="22"/>
              </w:rPr>
              <w:t>High levels of social and emotional skills, developed resilience, confidence and self-esteem will be demonstrated by:</w:t>
            </w:r>
          </w:p>
          <w:p w14:paraId="74392A03" w14:textId="77777777" w:rsidR="00AE4F8C" w:rsidRPr="00A15711" w:rsidRDefault="00AE4F8C" w:rsidP="00AE4F8C">
            <w:pPr>
              <w:pStyle w:val="TableRowCentered"/>
              <w:numPr>
                <w:ilvl w:val="0"/>
                <w:numId w:val="17"/>
              </w:numPr>
              <w:jc w:val="left"/>
              <w:rPr>
                <w:sz w:val="22"/>
                <w:szCs w:val="22"/>
              </w:rPr>
            </w:pPr>
            <w:r w:rsidRPr="00A15711">
              <w:rPr>
                <w:sz w:val="22"/>
                <w:szCs w:val="22"/>
              </w:rPr>
              <w:t>Student voice, parent voice and teacher observations</w:t>
            </w:r>
          </w:p>
          <w:p w14:paraId="2A7D550E" w14:textId="26CF6853" w:rsidR="00AE4F8C" w:rsidRPr="00A15711" w:rsidRDefault="00AE4F8C" w:rsidP="00AE4F8C">
            <w:pPr>
              <w:pStyle w:val="TableRowCentered"/>
              <w:numPr>
                <w:ilvl w:val="0"/>
                <w:numId w:val="17"/>
              </w:numPr>
              <w:jc w:val="left"/>
              <w:rPr>
                <w:sz w:val="22"/>
                <w:szCs w:val="22"/>
              </w:rPr>
            </w:pPr>
            <w:r w:rsidRPr="00A15711">
              <w:rPr>
                <w:sz w:val="22"/>
                <w:szCs w:val="22"/>
              </w:rPr>
              <w:t>Significant increase in resilience, confidence and self-esteem</w:t>
            </w:r>
            <w:r w:rsidR="00EF20AC" w:rsidRPr="00A15711">
              <w:rPr>
                <w:sz w:val="22"/>
                <w:szCs w:val="22"/>
              </w:rPr>
              <w:t xml:space="preserve">, particularly among disadvantaged pupils. </w:t>
            </w:r>
          </w:p>
        </w:tc>
      </w:tr>
      <w:tr w:rsidR="00EF20AC" w14:paraId="7723DFC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C0716" w14:textId="51F07F5F" w:rsidR="00EF20AC" w:rsidRPr="00A15711" w:rsidRDefault="00EF20AC">
            <w:pPr>
              <w:pStyle w:val="TableRow"/>
              <w:rPr>
                <w:sz w:val="22"/>
                <w:szCs w:val="22"/>
              </w:rPr>
            </w:pPr>
            <w:r w:rsidRPr="00A15711">
              <w:rPr>
                <w:sz w:val="22"/>
                <w:szCs w:val="22"/>
              </w:rPr>
              <w:t>Improved parental engagement</w:t>
            </w:r>
            <w:r w:rsidR="00A30BE2" w:rsidRPr="00A15711">
              <w:rPr>
                <w:sz w:val="22"/>
                <w:szCs w:val="22"/>
              </w:rPr>
              <w:t xml:space="preserve"> amongst our disadvantaged families so that they are more involved with school initiatives.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D8331" w14:textId="77777777" w:rsidR="00EF20AC" w:rsidRPr="00A15711" w:rsidRDefault="00A30BE2" w:rsidP="00AE4F8C">
            <w:pPr>
              <w:pStyle w:val="TableRowCentered"/>
              <w:jc w:val="left"/>
              <w:rPr>
                <w:sz w:val="22"/>
                <w:szCs w:val="22"/>
              </w:rPr>
            </w:pPr>
            <w:r w:rsidRPr="00A15711">
              <w:rPr>
                <w:sz w:val="22"/>
                <w:szCs w:val="22"/>
              </w:rPr>
              <w:t>Sustained high levels of parental engagement from 2024/25 demonstrated by:</w:t>
            </w:r>
          </w:p>
          <w:p w14:paraId="421DDDCF" w14:textId="77777777" w:rsidR="00A30BE2" w:rsidRPr="00A15711" w:rsidRDefault="00A30BE2" w:rsidP="00A30BE2">
            <w:pPr>
              <w:pStyle w:val="TableRowCentered"/>
              <w:numPr>
                <w:ilvl w:val="0"/>
                <w:numId w:val="19"/>
              </w:numPr>
              <w:jc w:val="left"/>
              <w:rPr>
                <w:sz w:val="22"/>
                <w:szCs w:val="22"/>
              </w:rPr>
            </w:pPr>
            <w:r w:rsidRPr="00A15711">
              <w:rPr>
                <w:sz w:val="22"/>
                <w:szCs w:val="22"/>
              </w:rPr>
              <w:t xml:space="preserve">High percentage of disadvantaged families responding to parent voice questionnaires. </w:t>
            </w:r>
          </w:p>
          <w:p w14:paraId="032264E2" w14:textId="77777777" w:rsidR="00A30BE2" w:rsidRPr="00A15711" w:rsidRDefault="006B58BB" w:rsidP="00A30BE2">
            <w:pPr>
              <w:pStyle w:val="TableRowCentered"/>
              <w:numPr>
                <w:ilvl w:val="0"/>
                <w:numId w:val="19"/>
              </w:numPr>
              <w:jc w:val="left"/>
              <w:rPr>
                <w:sz w:val="22"/>
                <w:szCs w:val="22"/>
              </w:rPr>
            </w:pPr>
            <w:r w:rsidRPr="00A15711">
              <w:rPr>
                <w:sz w:val="22"/>
                <w:szCs w:val="22"/>
              </w:rPr>
              <w:t xml:space="preserve">Engagement in parent events will have increased. </w:t>
            </w:r>
          </w:p>
          <w:p w14:paraId="2C98A5F8" w14:textId="021E1CF2" w:rsidR="006B58BB" w:rsidRPr="00A15711" w:rsidRDefault="001B25B1" w:rsidP="00A30BE2">
            <w:pPr>
              <w:pStyle w:val="TableRowCentered"/>
              <w:numPr>
                <w:ilvl w:val="0"/>
                <w:numId w:val="19"/>
              </w:numPr>
              <w:jc w:val="left"/>
              <w:rPr>
                <w:sz w:val="22"/>
                <w:szCs w:val="22"/>
              </w:rPr>
            </w:pPr>
            <w:r w:rsidRPr="00476F86">
              <w:rPr>
                <w:sz w:val="22"/>
                <w:szCs w:val="22"/>
              </w:rPr>
              <w:t>EIT will show improvement in RAG rating for parental engagement.</w:t>
            </w:r>
            <w:r w:rsidRPr="00A15711">
              <w:rPr>
                <w:sz w:val="22"/>
                <w:szCs w:val="22"/>
              </w:rPr>
              <w:t xml:space="preserve"> </w:t>
            </w:r>
          </w:p>
        </w:tc>
      </w:tr>
      <w:tr w:rsidR="00EF20AC" w14:paraId="58A87EE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B7159" w14:textId="3F08AFDF" w:rsidR="00EF20AC" w:rsidRPr="00A15711" w:rsidRDefault="00EF20AC">
            <w:pPr>
              <w:pStyle w:val="TableRow"/>
              <w:rPr>
                <w:sz w:val="22"/>
                <w:szCs w:val="22"/>
              </w:rPr>
            </w:pPr>
            <w:r w:rsidRPr="00A15711">
              <w:rPr>
                <w:sz w:val="22"/>
                <w:szCs w:val="22"/>
              </w:rPr>
              <w:t xml:space="preserve">To achieve and sustain improved attendance and persistent absence for all pupils, particularly for our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3D09F" w14:textId="77777777" w:rsidR="00EF20AC" w:rsidRPr="00A15711" w:rsidRDefault="00EF20AC" w:rsidP="00AE4F8C">
            <w:pPr>
              <w:pStyle w:val="TableRowCentered"/>
              <w:jc w:val="left"/>
              <w:rPr>
                <w:sz w:val="22"/>
                <w:szCs w:val="22"/>
              </w:rPr>
            </w:pPr>
            <w:r w:rsidRPr="00A15711">
              <w:rPr>
                <w:sz w:val="22"/>
                <w:szCs w:val="22"/>
              </w:rPr>
              <w:t xml:space="preserve">Sustained </w:t>
            </w:r>
            <w:r w:rsidR="00902439" w:rsidRPr="00A15711">
              <w:rPr>
                <w:sz w:val="22"/>
                <w:szCs w:val="22"/>
              </w:rPr>
              <w:t>high atten</w:t>
            </w:r>
            <w:r w:rsidR="00504158" w:rsidRPr="00A15711">
              <w:rPr>
                <w:sz w:val="22"/>
                <w:szCs w:val="22"/>
              </w:rPr>
              <w:t>d</w:t>
            </w:r>
            <w:r w:rsidR="0062764E" w:rsidRPr="00A15711">
              <w:rPr>
                <w:sz w:val="22"/>
                <w:szCs w:val="22"/>
              </w:rPr>
              <w:t>ance from 2024/25 demonstrated by:</w:t>
            </w:r>
          </w:p>
          <w:p w14:paraId="31DD027E" w14:textId="2370FD38" w:rsidR="0062764E" w:rsidRPr="00A15711" w:rsidRDefault="0062764E" w:rsidP="0062764E">
            <w:pPr>
              <w:pStyle w:val="TableRowCentered"/>
              <w:numPr>
                <w:ilvl w:val="0"/>
                <w:numId w:val="18"/>
              </w:numPr>
              <w:jc w:val="left"/>
              <w:rPr>
                <w:sz w:val="22"/>
                <w:szCs w:val="22"/>
              </w:rPr>
            </w:pPr>
            <w:r w:rsidRPr="00A15711">
              <w:rPr>
                <w:sz w:val="22"/>
                <w:szCs w:val="22"/>
              </w:rPr>
              <w:t xml:space="preserve">The overall absence rate for all pupils being </w:t>
            </w:r>
            <w:r w:rsidR="001B25B1" w:rsidRPr="00A15711">
              <w:rPr>
                <w:sz w:val="22"/>
                <w:szCs w:val="22"/>
              </w:rPr>
              <w:t>97%+</w:t>
            </w:r>
            <w:r w:rsidRPr="00A15711">
              <w:rPr>
                <w:sz w:val="22"/>
                <w:szCs w:val="22"/>
              </w:rPr>
              <w:t xml:space="preserve">. </w:t>
            </w:r>
            <w:r w:rsidR="001B25B1" w:rsidRPr="00A15711">
              <w:rPr>
                <w:sz w:val="22"/>
                <w:szCs w:val="22"/>
              </w:rPr>
              <w:t>T</w:t>
            </w:r>
            <w:r w:rsidRPr="00A15711">
              <w:rPr>
                <w:sz w:val="22"/>
                <w:szCs w:val="22"/>
              </w:rPr>
              <w:t xml:space="preserve">he attendance gap between the disadvantaged pupils and their non-disadvantaged peers being reduced by </w:t>
            </w:r>
            <w:r w:rsidR="001B25B1" w:rsidRPr="00A15711">
              <w:rPr>
                <w:sz w:val="22"/>
                <w:szCs w:val="22"/>
              </w:rPr>
              <w:t>5</w:t>
            </w:r>
            <w:r w:rsidRPr="00A15711">
              <w:rPr>
                <w:sz w:val="22"/>
                <w:szCs w:val="22"/>
              </w:rPr>
              <w:t xml:space="preserve">%. </w:t>
            </w:r>
          </w:p>
          <w:p w14:paraId="04E8238D" w14:textId="39CE605D" w:rsidR="0062764E" w:rsidRPr="00A15711" w:rsidRDefault="0062764E" w:rsidP="0062764E">
            <w:pPr>
              <w:pStyle w:val="TableRowCentered"/>
              <w:numPr>
                <w:ilvl w:val="0"/>
                <w:numId w:val="18"/>
              </w:numPr>
              <w:jc w:val="left"/>
              <w:rPr>
                <w:sz w:val="22"/>
                <w:szCs w:val="22"/>
              </w:rPr>
            </w:pPr>
            <w:r w:rsidRPr="00A15711">
              <w:rPr>
                <w:sz w:val="22"/>
                <w:szCs w:val="22"/>
              </w:rPr>
              <w:t xml:space="preserve">The percentage of pupils who are persistently absent being below </w:t>
            </w:r>
            <w:r w:rsidR="001B25B1" w:rsidRPr="00A15711">
              <w:rPr>
                <w:sz w:val="22"/>
                <w:szCs w:val="22"/>
              </w:rPr>
              <w:t>10%</w:t>
            </w:r>
            <w:r w:rsidRPr="00A15711">
              <w:rPr>
                <w:sz w:val="22"/>
                <w:szCs w:val="22"/>
              </w:rPr>
              <w:t xml:space="preserve"> and the figure among disadvantaged pupils being no more than </w:t>
            </w:r>
            <w:r w:rsidR="001B25B1" w:rsidRPr="00A15711">
              <w:rPr>
                <w:sz w:val="22"/>
                <w:szCs w:val="22"/>
              </w:rPr>
              <w:t>5</w:t>
            </w:r>
            <w:r w:rsidRPr="00A15711">
              <w:rPr>
                <w:sz w:val="22"/>
                <w:szCs w:val="22"/>
              </w:rPr>
              <w:t xml:space="preserve">% lower than their peers. </w:t>
            </w:r>
          </w:p>
        </w:tc>
      </w:tr>
    </w:tbl>
    <w:p w14:paraId="1D4992F9" w14:textId="77777777" w:rsidR="001B25B1" w:rsidRDefault="001B25B1" w:rsidP="001B25B1">
      <w:pPr>
        <w:suppressAutoHyphens w:val="0"/>
        <w:spacing w:after="0" w:line="240" w:lineRule="auto"/>
        <w:rPr>
          <w:b/>
        </w:rPr>
      </w:pPr>
    </w:p>
    <w:p w14:paraId="2A7D5512" w14:textId="59D6B779" w:rsidR="00E66558" w:rsidRPr="001B25B1" w:rsidRDefault="009D71E8" w:rsidP="001B25B1">
      <w:pPr>
        <w:suppressAutoHyphens w:val="0"/>
        <w:spacing w:after="0" w:line="240" w:lineRule="auto"/>
        <w:rPr>
          <w:b/>
          <w:color w:val="104F75"/>
          <w:sz w:val="32"/>
          <w:szCs w:val="32"/>
          <w:u w:val="single"/>
        </w:rPr>
      </w:pPr>
      <w:r w:rsidRPr="001B25B1">
        <w:rPr>
          <w:b/>
          <w:u w:val="single"/>
        </w:rP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rsidRPr="00C0191A">
        <w:t>Teaching</w:t>
      </w:r>
      <w:r>
        <w:t xml:space="preserve"> (for example, CPD, recruitment and retention)</w:t>
      </w:r>
    </w:p>
    <w:p w14:paraId="2A7D5515" w14:textId="15BDEDEF" w:rsidR="00E66558" w:rsidRDefault="009D71E8">
      <w:r>
        <w:t>Budgeted cost: £</w:t>
      </w:r>
      <w:r w:rsidR="00C0191A">
        <w:t>3</w:t>
      </w:r>
      <w:r w:rsidR="00F246B7">
        <w:t>2</w:t>
      </w:r>
      <w:r w:rsidR="00C0191A">
        <w:t>,</w:t>
      </w:r>
      <w:r w:rsidR="00F246B7">
        <w:t>5</w:t>
      </w:r>
      <w:r w:rsidR="005858D4">
        <w:t>00</w:t>
      </w:r>
    </w:p>
    <w:tbl>
      <w:tblPr>
        <w:tblW w:w="5000" w:type="pct"/>
        <w:tblCellMar>
          <w:left w:w="10" w:type="dxa"/>
          <w:right w:w="10" w:type="dxa"/>
        </w:tblCellMar>
        <w:tblLook w:val="04A0" w:firstRow="1" w:lastRow="0" w:firstColumn="1" w:lastColumn="0" w:noHBand="0" w:noVBand="1"/>
      </w:tblPr>
      <w:tblGrid>
        <w:gridCol w:w="1925"/>
        <w:gridCol w:w="6030"/>
        <w:gridCol w:w="1531"/>
      </w:tblGrid>
      <w:tr w:rsidR="00A15711" w14:paraId="2A7D5519" w14:textId="77777777" w:rsidTr="007379E2">
        <w:tc>
          <w:tcPr>
            <w:tcW w:w="19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0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A15711" w14:paraId="2A7D551D" w14:textId="77777777" w:rsidTr="007379E2">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0C6BBBA" w:rsidR="00E66558" w:rsidRPr="00A15711" w:rsidRDefault="00C12C17">
            <w:pPr>
              <w:pStyle w:val="TableRow"/>
              <w:rPr>
                <w:sz w:val="22"/>
              </w:rPr>
            </w:pPr>
            <w:r w:rsidRPr="00A15711">
              <w:rPr>
                <w:sz w:val="22"/>
              </w:rPr>
              <w:t>Introduce and develop</w:t>
            </w:r>
            <w:r w:rsidR="006B4B8C" w:rsidRPr="00A15711">
              <w:rPr>
                <w:sz w:val="22"/>
              </w:rPr>
              <w:t xml:space="preserve"> a whole </w:t>
            </w:r>
            <w:r w:rsidRPr="00A15711">
              <w:rPr>
                <w:sz w:val="22"/>
              </w:rPr>
              <w:t xml:space="preserve">school </w:t>
            </w:r>
            <w:r w:rsidR="004744F9" w:rsidRPr="00A15711">
              <w:rPr>
                <w:sz w:val="22"/>
              </w:rPr>
              <w:t>Writing</w:t>
            </w:r>
            <w:r w:rsidRPr="00A15711">
              <w:rPr>
                <w:sz w:val="22"/>
              </w:rPr>
              <w:t xml:space="preserve"> model to ensure that </w:t>
            </w:r>
            <w:r w:rsidR="007379E2" w:rsidRPr="00A15711">
              <w:rPr>
                <w:sz w:val="22"/>
              </w:rPr>
              <w:t xml:space="preserve">writing is taught to a high standard. </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F1C95" w14:textId="77777777" w:rsidR="007379E2" w:rsidRPr="00A15711" w:rsidRDefault="007379E2" w:rsidP="007379E2">
            <w:pPr>
              <w:pStyle w:val="TableRowCentered"/>
              <w:jc w:val="left"/>
              <w:rPr>
                <w:sz w:val="22"/>
              </w:rPr>
            </w:pPr>
            <w:r w:rsidRPr="00A15711">
              <w:rPr>
                <w:sz w:val="22"/>
              </w:rPr>
              <w:t xml:space="preserve">See EEF Toolkit: High Quality Teaching </w:t>
            </w:r>
          </w:p>
          <w:p w14:paraId="12F86642" w14:textId="77777777" w:rsidR="007379E2" w:rsidRPr="00A15711" w:rsidRDefault="004D73BD" w:rsidP="007379E2">
            <w:pPr>
              <w:pStyle w:val="TableRowCentered"/>
              <w:jc w:val="left"/>
              <w:rPr>
                <w:sz w:val="22"/>
              </w:rPr>
            </w:pPr>
            <w:hyperlink r:id="rId11" w:history="1">
              <w:r w:rsidR="007379E2" w:rsidRPr="00A15711">
                <w:rPr>
                  <w:rStyle w:val="Hyperlink"/>
                  <w:sz w:val="22"/>
                </w:rPr>
                <w:t>https://educationendowmentfoundation.org.uk/support-for-schools/school-improvement-planning/1-high-quality-teaching</w:t>
              </w:r>
            </w:hyperlink>
          </w:p>
          <w:p w14:paraId="5E77BB8E" w14:textId="77777777" w:rsidR="007379E2" w:rsidRPr="00A15711" w:rsidRDefault="007379E2" w:rsidP="007379E2">
            <w:pPr>
              <w:pStyle w:val="TableRowCentered"/>
              <w:jc w:val="left"/>
              <w:rPr>
                <w:sz w:val="22"/>
              </w:rPr>
            </w:pPr>
          </w:p>
          <w:p w14:paraId="2A7D551B" w14:textId="32631EAA" w:rsidR="00E66558" w:rsidRPr="00A15711" w:rsidRDefault="007379E2" w:rsidP="007379E2">
            <w:pPr>
              <w:pStyle w:val="TableRowCentered"/>
              <w:jc w:val="left"/>
              <w:rPr>
                <w:sz w:val="22"/>
              </w:rPr>
            </w:pPr>
            <w:r w:rsidRPr="00A15711">
              <w:rPr>
                <w:sz w:val="22"/>
              </w:rPr>
              <w:t>‘The best available evidence indicates that great teaching is the most important lever schools have to improve pupil attainment. Ensuring every teacher is supported in delivering high quality teaching is essential to achieving the best outcomes for all pupils, particularly the most disadvantaged among them.’</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E4EF24B" w:rsidR="00E66558" w:rsidRPr="00A15711" w:rsidRDefault="008F651A">
            <w:pPr>
              <w:pStyle w:val="TableRowCentered"/>
              <w:jc w:val="left"/>
              <w:rPr>
                <w:sz w:val="22"/>
              </w:rPr>
            </w:pPr>
            <w:r>
              <w:rPr>
                <w:sz w:val="22"/>
              </w:rPr>
              <w:t>1, 2, 3 4</w:t>
            </w:r>
          </w:p>
        </w:tc>
      </w:tr>
      <w:tr w:rsidR="00A15711" w14:paraId="2A7D5521" w14:textId="77777777" w:rsidTr="007379E2">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C2FD1E4" w:rsidR="00E66558" w:rsidRPr="00A15711" w:rsidRDefault="00B40C39">
            <w:pPr>
              <w:pStyle w:val="TableRow"/>
              <w:rPr>
                <w:sz w:val="22"/>
              </w:rPr>
            </w:pPr>
            <w:r>
              <w:rPr>
                <w:sz w:val="22"/>
              </w:rPr>
              <w:t>Refine</w:t>
            </w:r>
            <w:r w:rsidR="00C12C17" w:rsidRPr="00A15711">
              <w:rPr>
                <w:sz w:val="22"/>
              </w:rPr>
              <w:t xml:space="preserve"> and embed a </w:t>
            </w:r>
            <w:r w:rsidR="004744F9" w:rsidRPr="00A15711">
              <w:rPr>
                <w:sz w:val="22"/>
              </w:rPr>
              <w:t>Reading</w:t>
            </w:r>
            <w:r w:rsidR="00C12C17" w:rsidRPr="00A15711">
              <w:rPr>
                <w:sz w:val="22"/>
              </w:rPr>
              <w:t xml:space="preserve"> strategy for KS2 which follows on from Read, Write, Inc model in KS1 that encompasses both reading and writing. </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4E796" w14:textId="77777777" w:rsidR="007379E2" w:rsidRPr="00A15711" w:rsidRDefault="007379E2" w:rsidP="007379E2">
            <w:pPr>
              <w:rPr>
                <w:rFonts w:cs="Arial"/>
                <w:color w:val="auto"/>
                <w:sz w:val="22"/>
              </w:rPr>
            </w:pPr>
            <w:r w:rsidRPr="00A15711">
              <w:rPr>
                <w:rFonts w:cs="Arial"/>
                <w:color w:val="auto"/>
                <w:sz w:val="22"/>
              </w:rPr>
              <w:t>The EEF guidance for KS2 Improving literacy is based on a range of the best available evidence research and outlines the importance of developing children’s language capabilities and teaching reading comprehension strategies to improve reading.</w:t>
            </w:r>
          </w:p>
          <w:p w14:paraId="53BEE524" w14:textId="77777777" w:rsidR="00E66558" w:rsidRPr="00A15711" w:rsidRDefault="004D73BD" w:rsidP="007379E2">
            <w:pPr>
              <w:pStyle w:val="TableRowCentered"/>
              <w:jc w:val="left"/>
              <w:rPr>
                <w:rStyle w:val="Hyperlink"/>
                <w:color w:val="0070C0"/>
                <w:sz w:val="22"/>
              </w:rPr>
            </w:pPr>
            <w:hyperlink r:id="rId12" w:history="1">
              <w:r w:rsidR="007379E2" w:rsidRPr="00A15711">
                <w:rPr>
                  <w:rStyle w:val="Hyperlink"/>
                  <w:color w:val="0070C0"/>
                  <w:sz w:val="22"/>
                </w:rPr>
                <w:t>Improving Literacy in Key Stage 2 | EEF (educationendowmentfoundation.org.uk)</w:t>
              </w:r>
            </w:hyperlink>
          </w:p>
          <w:p w14:paraId="31D1D237" w14:textId="77777777" w:rsidR="00BB6E36" w:rsidRPr="00A15711" w:rsidRDefault="00BB6E36" w:rsidP="007379E2">
            <w:pPr>
              <w:pStyle w:val="TableRowCentered"/>
              <w:jc w:val="left"/>
              <w:rPr>
                <w:sz w:val="22"/>
              </w:rPr>
            </w:pPr>
          </w:p>
          <w:p w14:paraId="597A5B13" w14:textId="77777777" w:rsidR="00BB6E36" w:rsidRPr="00A15711" w:rsidRDefault="00BB6E36" w:rsidP="00BB6E36">
            <w:pPr>
              <w:pStyle w:val="TableRowCentered"/>
              <w:jc w:val="left"/>
              <w:rPr>
                <w:rFonts w:cs="Arial"/>
                <w:color w:val="auto"/>
                <w:sz w:val="22"/>
                <w:szCs w:val="22"/>
              </w:rPr>
            </w:pPr>
            <w:r w:rsidRPr="00A15711">
              <w:rPr>
                <w:rFonts w:cs="Arial"/>
                <w:color w:val="auto"/>
                <w:sz w:val="22"/>
                <w:szCs w:val="22"/>
              </w:rPr>
              <w:t>There is a strong evidence base that suggests reading comprehension interventions</w:t>
            </w:r>
            <w:r w:rsidRPr="00A15711">
              <w:rPr>
                <w:rFonts w:cs="Arial"/>
                <w:color w:val="000000" w:themeColor="text1"/>
                <w:sz w:val="22"/>
                <w:szCs w:val="22"/>
              </w:rPr>
              <w:t xml:space="preserve">, </w:t>
            </w:r>
            <w:r w:rsidRPr="00A15711">
              <w:rPr>
                <w:rFonts w:cs="Arial"/>
                <w:color w:val="000000" w:themeColor="text1"/>
                <w:sz w:val="22"/>
                <w:szCs w:val="22"/>
                <w:shd w:val="clear" w:color="auto" w:fill="FFFFFF"/>
              </w:rPr>
              <w:t>involving the teaching of explicit approaches and techniques a pupil can use to improve their comprehension of written</w:t>
            </w:r>
            <w:r w:rsidRPr="00A15711">
              <w:rPr>
                <w:rFonts w:ascii="Helvetica" w:hAnsi="Helvetica" w:cs="Helvetica"/>
                <w:color w:val="000000" w:themeColor="text1"/>
                <w:sz w:val="22"/>
                <w:szCs w:val="30"/>
                <w:shd w:val="clear" w:color="auto" w:fill="FFFFFF"/>
              </w:rPr>
              <w:t xml:space="preserve"> </w:t>
            </w:r>
            <w:r w:rsidRPr="00A15711">
              <w:rPr>
                <w:rFonts w:cs="Arial"/>
                <w:color w:val="000000" w:themeColor="text1"/>
                <w:sz w:val="22"/>
                <w:szCs w:val="22"/>
                <w:shd w:val="clear" w:color="auto" w:fill="FFFFFF"/>
              </w:rPr>
              <w:t xml:space="preserve">text </w:t>
            </w:r>
            <w:r w:rsidRPr="00A15711">
              <w:rPr>
                <w:rFonts w:cs="Arial"/>
                <w:color w:val="auto"/>
                <w:sz w:val="22"/>
                <w:szCs w:val="22"/>
              </w:rPr>
              <w:t>alongside collaborative learning techniques are inexpensive to implement with high impacts on reading</w:t>
            </w:r>
          </w:p>
          <w:p w14:paraId="4604D29A" w14:textId="77777777" w:rsidR="00BB6E36" w:rsidRPr="00A15711" w:rsidRDefault="00BB6E36" w:rsidP="00BB6E36">
            <w:pPr>
              <w:pStyle w:val="TableRowCentered"/>
              <w:jc w:val="left"/>
              <w:rPr>
                <w:rFonts w:cs="Arial"/>
                <w:color w:val="auto"/>
                <w:sz w:val="22"/>
                <w:szCs w:val="24"/>
              </w:rPr>
            </w:pPr>
          </w:p>
          <w:p w14:paraId="2A7D551F" w14:textId="1B80A56C" w:rsidR="00BB6E36" w:rsidRPr="00A15711" w:rsidRDefault="004D73BD" w:rsidP="00796285">
            <w:pPr>
              <w:rPr>
                <w:color w:val="0070C0"/>
                <w:sz w:val="22"/>
                <w:szCs w:val="22"/>
              </w:rPr>
            </w:pPr>
            <w:hyperlink r:id="rId13" w:history="1">
              <w:r w:rsidR="00BB6E36" w:rsidRPr="00A15711">
                <w:rPr>
                  <w:rStyle w:val="Hyperlink"/>
                  <w:color w:val="0070C0"/>
                  <w:sz w:val="22"/>
                  <w:szCs w:val="22"/>
                </w:rPr>
                <w:t>Reading comprehension strategies | EEF (educationendowmentfoundation.org.uk)</w:t>
              </w:r>
            </w:hyperlink>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B460B78" w:rsidR="00E66558" w:rsidRPr="00A15711" w:rsidRDefault="008F651A">
            <w:pPr>
              <w:pStyle w:val="TableRowCentered"/>
              <w:jc w:val="left"/>
              <w:rPr>
                <w:sz w:val="22"/>
              </w:rPr>
            </w:pPr>
            <w:r>
              <w:rPr>
                <w:sz w:val="22"/>
              </w:rPr>
              <w:t>1, 2</w:t>
            </w:r>
          </w:p>
        </w:tc>
      </w:tr>
      <w:tr w:rsidR="00A15711" w14:paraId="22EB283A" w14:textId="77777777" w:rsidTr="007379E2">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1188B" w14:textId="08EE5778" w:rsidR="007379E2" w:rsidRPr="00D770F9" w:rsidRDefault="007379E2" w:rsidP="00D770F9">
            <w:pPr>
              <w:rPr>
                <w:sz w:val="22"/>
                <w:szCs w:val="22"/>
              </w:rPr>
            </w:pPr>
            <w:r w:rsidRPr="00D770F9">
              <w:rPr>
                <w:sz w:val="22"/>
                <w:szCs w:val="22"/>
              </w:rPr>
              <w:t>For those pupils with multi-vulnerabilities - review current SEND provision to ensure that they are receiving high-quality provision.</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B2F13" w14:textId="77777777" w:rsidR="007379E2" w:rsidRPr="00A15711" w:rsidRDefault="007379E2" w:rsidP="007379E2">
            <w:pPr>
              <w:rPr>
                <w:rFonts w:cs="Arial"/>
                <w:color w:val="0070C0"/>
                <w:sz w:val="22"/>
              </w:rPr>
            </w:pPr>
            <w:r w:rsidRPr="00A15711">
              <w:rPr>
                <w:rFonts w:cs="Arial"/>
                <w:color w:val="auto"/>
                <w:sz w:val="22"/>
                <w:shd w:val="clear" w:color="auto" w:fill="FFFFFF"/>
              </w:rPr>
              <w:t>The EEF guidance states Supporting high quality teaching is pivotal in improving children’s outcomes especially children with SEND</w:t>
            </w:r>
          </w:p>
          <w:p w14:paraId="12A9B27D" w14:textId="77777777" w:rsidR="007379E2" w:rsidRPr="00A15711" w:rsidRDefault="004D73BD" w:rsidP="007379E2">
            <w:pPr>
              <w:rPr>
                <w:rFonts w:cs="Arial"/>
                <w:color w:val="0070C0"/>
                <w:sz w:val="22"/>
              </w:rPr>
            </w:pPr>
            <w:hyperlink r:id="rId14" w:history="1">
              <w:r w:rsidR="007379E2" w:rsidRPr="00A15711">
                <w:rPr>
                  <w:rStyle w:val="Hyperlink"/>
                  <w:rFonts w:cs="Arial"/>
                  <w:color w:val="0070C0"/>
                  <w:sz w:val="22"/>
                </w:rPr>
                <w:t>https://educationendowmentfoundation.org.uk/education-evidence/guidance-reports/send</w:t>
              </w:r>
            </w:hyperlink>
          </w:p>
          <w:p w14:paraId="20A78A01" w14:textId="77777777" w:rsidR="007379E2" w:rsidRPr="00A15711" w:rsidRDefault="007379E2" w:rsidP="007379E2">
            <w:pPr>
              <w:pStyle w:val="TableRowCentered"/>
              <w:jc w:val="left"/>
              <w:rPr>
                <w:sz w:val="22"/>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6056E" w14:textId="6932CDC3" w:rsidR="007379E2" w:rsidRPr="00A15711" w:rsidRDefault="008F651A" w:rsidP="007379E2">
            <w:pPr>
              <w:pStyle w:val="TableRowCentered"/>
              <w:jc w:val="left"/>
              <w:rPr>
                <w:sz w:val="22"/>
              </w:rPr>
            </w:pPr>
            <w:r>
              <w:rPr>
                <w:sz w:val="22"/>
              </w:rPr>
              <w:t>1</w:t>
            </w:r>
          </w:p>
        </w:tc>
      </w:tr>
      <w:tr w:rsidR="00A15711" w14:paraId="394EB6A1" w14:textId="77777777" w:rsidTr="00417141">
        <w:trPr>
          <w:trHeight w:val="699"/>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3999B" w14:textId="45B34AAF" w:rsidR="009B4C30" w:rsidRPr="00D770F9" w:rsidRDefault="007570EC" w:rsidP="00D770F9">
            <w:pPr>
              <w:rPr>
                <w:sz w:val="22"/>
              </w:rPr>
            </w:pPr>
            <w:r>
              <w:rPr>
                <w:sz w:val="22"/>
              </w:rPr>
              <w:t>Implement</w:t>
            </w:r>
            <w:r w:rsidR="009B4C30" w:rsidRPr="00D770F9">
              <w:rPr>
                <w:sz w:val="22"/>
              </w:rPr>
              <w:t xml:space="preserve"> </w:t>
            </w:r>
            <w:r w:rsidR="002D0877">
              <w:rPr>
                <w:sz w:val="22"/>
              </w:rPr>
              <w:t>speaking &amp; listening</w:t>
            </w:r>
            <w:r w:rsidR="009B4C30" w:rsidRPr="00D770F9">
              <w:rPr>
                <w:sz w:val="22"/>
              </w:rPr>
              <w:t xml:space="preserve"> </w:t>
            </w:r>
            <w:r w:rsidR="00417141">
              <w:rPr>
                <w:sz w:val="22"/>
              </w:rPr>
              <w:t>initiative (</w:t>
            </w:r>
            <w:proofErr w:type="spellStart"/>
            <w:r w:rsidR="00417141">
              <w:rPr>
                <w:sz w:val="22"/>
              </w:rPr>
              <w:t>oracy</w:t>
            </w:r>
            <w:proofErr w:type="spellEnd"/>
            <w:r w:rsidR="00417141">
              <w:rPr>
                <w:sz w:val="22"/>
              </w:rPr>
              <w:t xml:space="preserve"> strategy)</w:t>
            </w:r>
            <w:r w:rsidR="009B4C30" w:rsidRPr="00D770F9">
              <w:rPr>
                <w:sz w:val="22"/>
              </w:rPr>
              <w:t xml:space="preserve"> throughout every phase. </w:t>
            </w:r>
          </w:p>
          <w:p w14:paraId="2301DC6B" w14:textId="0A44FBB6" w:rsidR="007379E2" w:rsidRPr="00D770F9" w:rsidRDefault="007379E2" w:rsidP="00D770F9">
            <w:pPr>
              <w:rPr>
                <w:sz w:val="22"/>
              </w:rPr>
            </w:pP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114BC" w14:textId="77777777" w:rsidR="007379E2" w:rsidRPr="00A15711" w:rsidRDefault="007379E2" w:rsidP="007379E2">
            <w:pPr>
              <w:suppressAutoHyphens w:val="0"/>
              <w:autoSpaceDN/>
              <w:spacing w:before="60" w:after="60" w:line="240" w:lineRule="auto"/>
              <w:ind w:left="57" w:right="57"/>
              <w:rPr>
                <w:rFonts w:cs="Arial"/>
                <w:color w:val="auto"/>
                <w:sz w:val="22"/>
              </w:rPr>
            </w:pPr>
            <w:r w:rsidRPr="00A15711">
              <w:rPr>
                <w:rFonts w:cs="Arial"/>
                <w:color w:val="auto"/>
                <w:sz w:val="22"/>
              </w:rPr>
              <w:t>There is a strong evidence base that suggests oral language interventions, including dialogic activities such as high-quality classroom discussion, are inexpensive to implement with high impacts on reading:</w:t>
            </w:r>
          </w:p>
          <w:p w14:paraId="1D3DDF50" w14:textId="77777777" w:rsidR="007379E2" w:rsidRPr="00A15711" w:rsidRDefault="004D73BD" w:rsidP="007379E2">
            <w:pPr>
              <w:pStyle w:val="TableRowCentered"/>
              <w:jc w:val="left"/>
              <w:rPr>
                <w:rFonts w:cs="Arial"/>
                <w:color w:val="0070C0"/>
                <w:sz w:val="22"/>
                <w:u w:val="single"/>
              </w:rPr>
            </w:pPr>
            <w:hyperlink r:id="rId15" w:history="1">
              <w:r w:rsidR="007379E2" w:rsidRPr="00A15711">
                <w:rPr>
                  <w:rFonts w:cs="Arial"/>
                  <w:color w:val="0070C0"/>
                  <w:sz w:val="22"/>
                  <w:u w:val="single"/>
                </w:rPr>
                <w:t>Oral language interventions | Toolkit Strand | Education Endowment Foundation | EEF</w:t>
              </w:r>
            </w:hyperlink>
          </w:p>
          <w:p w14:paraId="26197123" w14:textId="77777777" w:rsidR="00796285" w:rsidRPr="00A15711" w:rsidRDefault="00796285" w:rsidP="007379E2">
            <w:pPr>
              <w:pStyle w:val="TableRowCentered"/>
              <w:jc w:val="left"/>
              <w:rPr>
                <w:sz w:val="22"/>
              </w:rPr>
            </w:pPr>
          </w:p>
          <w:p w14:paraId="1971C8A5" w14:textId="3309AEF7" w:rsidR="00796285" w:rsidRPr="00417141" w:rsidRDefault="00796285" w:rsidP="00417141">
            <w:pPr>
              <w:rPr>
                <w:rFonts w:cs="Arial"/>
                <w:sz w:val="22"/>
                <w:szCs w:val="22"/>
              </w:rPr>
            </w:pPr>
            <w:r w:rsidRPr="00A15711">
              <w:rPr>
                <w:rFonts w:cs="Arial"/>
                <w:sz w:val="22"/>
                <w:szCs w:val="22"/>
              </w:rPr>
              <w:t xml:space="preserve">Hart and </w:t>
            </w:r>
            <w:proofErr w:type="spellStart"/>
            <w:r w:rsidRPr="00A15711">
              <w:rPr>
                <w:rFonts w:cs="Arial"/>
                <w:sz w:val="22"/>
                <w:szCs w:val="22"/>
              </w:rPr>
              <w:t>Risley</w:t>
            </w:r>
            <w:proofErr w:type="spellEnd"/>
            <w:r w:rsidRPr="00A15711">
              <w:rPr>
                <w:rFonts w:cs="Arial"/>
                <w:sz w:val="22"/>
                <w:szCs w:val="22"/>
              </w:rPr>
              <w:t xml:space="preserve"> (2003) suggest that by the age of 4, a child from a ‘welfare’ family is exposed to 30 million fewer words that a child from a ‘professional family’ (Early Catastrophe) The Matthew Effect for reading suggests that this lexical disparity widens as the language rich get richer and the language poor get poorer. We must teach vocabulary.</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1844" w14:textId="66249063" w:rsidR="007379E2" w:rsidRPr="00A15711" w:rsidRDefault="008F651A" w:rsidP="007379E2">
            <w:pPr>
              <w:pStyle w:val="TableRowCentered"/>
              <w:jc w:val="left"/>
              <w:rPr>
                <w:sz w:val="22"/>
              </w:rPr>
            </w:pPr>
            <w:r>
              <w:rPr>
                <w:sz w:val="22"/>
              </w:rPr>
              <w:t>1, 2, 3, 4</w:t>
            </w:r>
          </w:p>
        </w:tc>
      </w:tr>
      <w:tr w:rsidR="00A15711" w14:paraId="2A34153B" w14:textId="77777777" w:rsidTr="007379E2">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C71C" w14:textId="60623871" w:rsidR="007379E2" w:rsidRPr="00A15711" w:rsidRDefault="007379E2" w:rsidP="007379E2">
            <w:pPr>
              <w:pStyle w:val="TableRow"/>
              <w:rPr>
                <w:sz w:val="22"/>
              </w:rPr>
            </w:pPr>
            <w:r w:rsidRPr="00A15711">
              <w:rPr>
                <w:sz w:val="22"/>
              </w:rPr>
              <w:t>Ensure that all Teaching Assistants receive high-quality CPD to become more efficient practitioners in targeting all pupils including those who are disadvantage</w:t>
            </w:r>
            <w:r w:rsidR="00796285" w:rsidRPr="00A15711">
              <w:rPr>
                <w:sz w:val="22"/>
              </w:rPr>
              <w:t>d</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5F39C" w14:textId="77777777" w:rsidR="00796285" w:rsidRPr="00A15711" w:rsidRDefault="00796285" w:rsidP="00796285">
            <w:pPr>
              <w:rPr>
                <w:rFonts w:cs="Arial"/>
                <w:sz w:val="22"/>
                <w:szCs w:val="22"/>
              </w:rPr>
            </w:pPr>
            <w:r w:rsidRPr="00A15711">
              <w:rPr>
                <w:rFonts w:cs="Arial"/>
                <w:sz w:val="22"/>
                <w:szCs w:val="22"/>
              </w:rPr>
              <w:t>High Quality staff CPD is essential to follow the EEF principles which outline the importance of quality first teaching. Staff meetings, CPD offers and Inset days focus on these principles and quality first teaching.</w:t>
            </w:r>
          </w:p>
          <w:p w14:paraId="09195704" w14:textId="77777777" w:rsidR="007379E2" w:rsidRPr="00A15711" w:rsidRDefault="007379E2" w:rsidP="007379E2">
            <w:pPr>
              <w:pStyle w:val="TableRowCentered"/>
              <w:jc w:val="left"/>
              <w:rPr>
                <w:sz w:val="22"/>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BDFC3" w14:textId="2C1C5D89" w:rsidR="007379E2" w:rsidRPr="00A15711" w:rsidRDefault="008F651A" w:rsidP="007379E2">
            <w:pPr>
              <w:pStyle w:val="TableRowCentered"/>
              <w:jc w:val="left"/>
              <w:rPr>
                <w:sz w:val="22"/>
              </w:rPr>
            </w:pPr>
            <w:r>
              <w:rPr>
                <w:sz w:val="22"/>
              </w:rPr>
              <w:t>1, 2, 3, 4</w:t>
            </w:r>
          </w:p>
        </w:tc>
      </w:tr>
      <w:tr w:rsidR="00A15711" w14:paraId="1B96DF28" w14:textId="77777777" w:rsidTr="007379E2">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69A0B" w14:textId="77777777" w:rsidR="007379E2" w:rsidRPr="00A15711" w:rsidRDefault="007379E2" w:rsidP="007379E2">
            <w:pPr>
              <w:pStyle w:val="TableRow"/>
              <w:rPr>
                <w:sz w:val="22"/>
              </w:rPr>
            </w:pPr>
            <w:r w:rsidRPr="00A15711">
              <w:rPr>
                <w:sz w:val="22"/>
              </w:rPr>
              <w:t xml:space="preserve">Ensure all pupils are receiving QFT by embedding the pedagogical toolkit based on Rosenshine’s principles created as a whole-school approach. </w:t>
            </w:r>
          </w:p>
          <w:p w14:paraId="3FB96FD8" w14:textId="6CF41578" w:rsidR="00A15711" w:rsidRPr="00A15711" w:rsidRDefault="00DB20DC" w:rsidP="00DB20DC">
            <w:pPr>
              <w:pStyle w:val="TableRow"/>
              <w:numPr>
                <w:ilvl w:val="0"/>
                <w:numId w:val="20"/>
              </w:numPr>
              <w:rPr>
                <w:sz w:val="22"/>
              </w:rPr>
            </w:pPr>
            <w:r>
              <w:rPr>
                <w:sz w:val="22"/>
              </w:rPr>
              <w:t xml:space="preserve">Instructional coaching model to support this. </w:t>
            </w:r>
            <w:r w:rsidR="00A15711" w:rsidRPr="00A15711">
              <w:rPr>
                <w:sz w:val="22"/>
              </w:rPr>
              <w:t xml:space="preserve"> </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CDAB2" w14:textId="77777777" w:rsidR="00796285" w:rsidRPr="00A15711" w:rsidRDefault="00796285" w:rsidP="00796285">
            <w:pPr>
              <w:rPr>
                <w:rFonts w:cs="Arial"/>
                <w:sz w:val="22"/>
                <w:szCs w:val="22"/>
              </w:rPr>
            </w:pPr>
            <w:r w:rsidRPr="00A15711">
              <w:rPr>
                <w:rFonts w:cs="Arial"/>
                <w:sz w:val="22"/>
                <w:szCs w:val="22"/>
              </w:rPr>
              <w:t>High Quality staff CPD is essential to follow the EEF principles which outline the importance of quality first teaching. Staff meetings, CPD offers and Inset days focus on these principles and quality first teaching.</w:t>
            </w:r>
          </w:p>
          <w:p w14:paraId="28BECFBC" w14:textId="77777777" w:rsidR="00796285" w:rsidRPr="00A15711" w:rsidRDefault="00796285" w:rsidP="00796285">
            <w:pPr>
              <w:rPr>
                <w:rFonts w:cs="Arial"/>
                <w:sz w:val="22"/>
                <w:szCs w:val="22"/>
              </w:rPr>
            </w:pPr>
            <w:r w:rsidRPr="00A15711">
              <w:rPr>
                <w:rFonts w:cs="Arial"/>
                <w:sz w:val="22"/>
                <w:szCs w:val="22"/>
              </w:rPr>
              <w:t>EEF found that, ‘The effects of high-quality teaching are especially significant for pupils from disadvantaged backgrounds: over a school year, these pupils gain 1.5 years’ worth of learning with very effective teachers.</w:t>
            </w:r>
          </w:p>
          <w:p w14:paraId="3B341685" w14:textId="77777777" w:rsidR="00796285" w:rsidRPr="00A15711" w:rsidRDefault="00796285" w:rsidP="00796285">
            <w:pPr>
              <w:rPr>
                <w:rFonts w:cs="Arial"/>
                <w:color w:val="auto"/>
                <w:sz w:val="22"/>
                <w:szCs w:val="22"/>
              </w:rPr>
            </w:pPr>
            <w:r w:rsidRPr="00A15711">
              <w:rPr>
                <w:rFonts w:cs="Arial"/>
                <w:color w:val="auto"/>
                <w:sz w:val="22"/>
                <w:szCs w:val="22"/>
                <w:shd w:val="clear" w:color="auto" w:fill="FFFFFF"/>
              </w:rPr>
              <w:t>The EEF guidance states Supporting high quality teaching is pivotal in improving children’s outcomes. Indeed, research tells us that high quality teaching can narrow the disadvantage gap. These exemplify a growing consensus that promoting effective professional development (PD) plays a crucial role in improving classroom practice and pupil outcomes, and this guidance further reflects this, offering recommendations on how to improve professional development and design and select more impactful PD.</w:t>
            </w:r>
          </w:p>
          <w:p w14:paraId="5850C122" w14:textId="77777777" w:rsidR="00796285" w:rsidRPr="00A15711" w:rsidRDefault="004D73BD" w:rsidP="00796285">
            <w:pPr>
              <w:rPr>
                <w:rFonts w:cs="Arial"/>
                <w:color w:val="0070C0"/>
                <w:sz w:val="22"/>
                <w:szCs w:val="22"/>
              </w:rPr>
            </w:pPr>
            <w:hyperlink r:id="rId16" w:history="1">
              <w:r w:rsidR="00796285" w:rsidRPr="00A15711">
                <w:rPr>
                  <w:rStyle w:val="Hyperlink"/>
                  <w:rFonts w:cs="Arial"/>
                  <w:color w:val="0070C0"/>
                  <w:sz w:val="22"/>
                  <w:szCs w:val="22"/>
                </w:rPr>
                <w:t>https://educationendowmentfoundation.org.uk/education-evidence/guidance-reports/effective-professional-development</w:t>
              </w:r>
            </w:hyperlink>
          </w:p>
          <w:p w14:paraId="48048C82" w14:textId="77777777" w:rsidR="007379E2" w:rsidRPr="00A15711" w:rsidRDefault="007379E2" w:rsidP="007379E2">
            <w:pPr>
              <w:pStyle w:val="TableRowCentered"/>
              <w:jc w:val="left"/>
              <w:rPr>
                <w:sz w:val="22"/>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F254D" w14:textId="4134EFA6" w:rsidR="007379E2" w:rsidRPr="00A15711" w:rsidRDefault="008F651A" w:rsidP="007379E2">
            <w:pPr>
              <w:pStyle w:val="TableRowCentered"/>
              <w:jc w:val="left"/>
              <w:rPr>
                <w:sz w:val="22"/>
              </w:rPr>
            </w:pPr>
            <w:r>
              <w:rPr>
                <w:sz w:val="22"/>
              </w:rPr>
              <w:t>1,2,3,4</w:t>
            </w:r>
          </w:p>
        </w:tc>
      </w:tr>
      <w:tr w:rsidR="00A15711" w14:paraId="6E264DE7" w14:textId="77777777" w:rsidTr="007379E2">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4509D" w14:textId="0717C031" w:rsidR="007379E2" w:rsidRPr="00A15711" w:rsidRDefault="007379E2" w:rsidP="007379E2">
            <w:pPr>
              <w:pStyle w:val="TableRow"/>
              <w:rPr>
                <w:sz w:val="22"/>
              </w:rPr>
            </w:pPr>
            <w:r w:rsidRPr="00A15711">
              <w:rPr>
                <w:rFonts w:cs="Arial"/>
                <w:iCs/>
                <w:color w:val="auto"/>
                <w:sz w:val="22"/>
              </w:rPr>
              <w:t xml:space="preserve">Purchase of a </w:t>
            </w:r>
            <w:hyperlink r:id="rId17" w:history="1">
              <w:r w:rsidRPr="00A15711">
                <w:rPr>
                  <w:rStyle w:val="Hyperlink"/>
                  <w:rFonts w:cs="Arial"/>
                  <w:iCs/>
                  <w:color w:val="0070C0"/>
                  <w:sz w:val="22"/>
                </w:rPr>
                <w:t>D</w:t>
              </w:r>
              <w:r w:rsidRPr="00A15711">
                <w:rPr>
                  <w:rStyle w:val="Hyperlink"/>
                  <w:color w:val="0070C0"/>
                  <w:sz w:val="22"/>
                </w:rPr>
                <w:t xml:space="preserve">fE </w:t>
              </w:r>
              <w:r w:rsidRPr="00A15711">
                <w:rPr>
                  <w:rStyle w:val="Hyperlink"/>
                  <w:rFonts w:cs="Arial"/>
                  <w:iCs/>
                  <w:color w:val="0070C0"/>
                  <w:sz w:val="22"/>
                </w:rPr>
                <w:t>validated Systematic Synthetic Phonics programme</w:t>
              </w:r>
            </w:hyperlink>
            <w:r w:rsidRPr="00A15711">
              <w:rPr>
                <w:rFonts w:cs="Arial"/>
                <w:iCs/>
                <w:color w:val="auto"/>
                <w:sz w:val="22"/>
              </w:rPr>
              <w:t xml:space="preserve"> to secure stronger phonics teaching for all pupils.</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4C6C8" w14:textId="77777777" w:rsidR="007379E2" w:rsidRPr="00A15711" w:rsidRDefault="007379E2" w:rsidP="007379E2">
            <w:pPr>
              <w:pStyle w:val="TableRowCentered"/>
              <w:jc w:val="left"/>
              <w:rPr>
                <w:rFonts w:cs="Arial"/>
                <w:color w:val="auto"/>
                <w:sz w:val="22"/>
                <w:szCs w:val="24"/>
              </w:rPr>
            </w:pPr>
            <w:r w:rsidRPr="00A15711">
              <w:rPr>
                <w:rFonts w:cs="Arial"/>
                <w:color w:val="auto"/>
                <w:sz w:val="22"/>
                <w:szCs w:val="24"/>
              </w:rPr>
              <w:t xml:space="preserve">Phonics approaches have a strong evidence base that indicates a positive impact on the accuracy of word reading (though not necessarily comprehension), particularly for disadvantaged pupils: </w:t>
            </w:r>
          </w:p>
          <w:p w14:paraId="11F572D3" w14:textId="44BABC39" w:rsidR="007379E2" w:rsidRPr="00A15711" w:rsidRDefault="004D73BD" w:rsidP="007379E2">
            <w:pPr>
              <w:pStyle w:val="TableRowCentered"/>
              <w:jc w:val="left"/>
              <w:rPr>
                <w:sz w:val="22"/>
              </w:rPr>
            </w:pPr>
            <w:hyperlink r:id="rId18" w:history="1">
              <w:r w:rsidR="007379E2" w:rsidRPr="00A15711">
                <w:rPr>
                  <w:color w:val="0070C0"/>
                  <w:sz w:val="22"/>
                  <w:szCs w:val="24"/>
                  <w:u w:val="single"/>
                </w:rPr>
                <w:t>Phonics | Toolkit Strand | Education Endowment Foundation | EEF</w:t>
              </w:r>
            </w:hyperlink>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2CFB0" w14:textId="570C21D7" w:rsidR="007379E2" w:rsidRPr="00A15711" w:rsidRDefault="008F651A" w:rsidP="007379E2">
            <w:pPr>
              <w:pStyle w:val="TableRowCentered"/>
              <w:jc w:val="left"/>
              <w:rPr>
                <w:sz w:val="22"/>
              </w:rPr>
            </w:pPr>
            <w:r>
              <w:rPr>
                <w:sz w:val="22"/>
              </w:rPr>
              <w:t>2, 3</w:t>
            </w:r>
          </w:p>
        </w:tc>
      </w:tr>
    </w:tbl>
    <w:p w14:paraId="2A7D5522" w14:textId="77777777" w:rsidR="00E66558" w:rsidRDefault="00E66558">
      <w:pPr>
        <w:keepNext/>
        <w:spacing w:after="60"/>
        <w:outlineLvl w:val="1"/>
      </w:pPr>
    </w:p>
    <w:p w14:paraId="2A7D5523" w14:textId="4DE6035F"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70E9A4D" w:rsidR="00E66558" w:rsidRDefault="009D71E8">
      <w:r>
        <w:t>Budgeted cost: £</w:t>
      </w:r>
      <w:r w:rsidR="00C0191A">
        <w:t>16,</w:t>
      </w:r>
      <w:r w:rsidR="005858D4">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C10362">
        <w:trPr>
          <w:trHeight w:val="856"/>
        </w:trPr>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6C301B4" w:rsidR="00E66558" w:rsidRPr="00A15711" w:rsidRDefault="00882214" w:rsidP="00E56753">
            <w:pPr>
              <w:pStyle w:val="TableRow"/>
              <w:ind w:left="0"/>
              <w:rPr>
                <w:sz w:val="22"/>
              </w:rPr>
            </w:pPr>
            <w:r>
              <w:rPr>
                <w:sz w:val="22"/>
              </w:rPr>
              <w:t xml:space="preserve">Targeted interventions in year groups e.g. focused phonic sessions for EYFS, KS1 &amp; Y3. Multiplication intervention for Y5 to help pass MTC.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966BA" w14:textId="77777777" w:rsidR="00C12C17" w:rsidRPr="00A15711" w:rsidRDefault="00C12C17" w:rsidP="00C12C17">
            <w:pPr>
              <w:suppressAutoHyphens w:val="0"/>
              <w:autoSpaceDN/>
              <w:spacing w:before="60" w:after="60" w:line="240" w:lineRule="auto"/>
              <w:ind w:left="57" w:right="57"/>
              <w:rPr>
                <w:color w:val="auto"/>
                <w:sz w:val="22"/>
              </w:rPr>
            </w:pPr>
            <w:r w:rsidRPr="00A15711">
              <w:rPr>
                <w:color w:val="auto"/>
                <w:sz w:val="22"/>
              </w:rPr>
              <w:t>Tuition targeted at specific needs and knowledge gaps can be an effective method to support low attaining pupils or those falling behind, both one-to-one:</w:t>
            </w:r>
          </w:p>
          <w:p w14:paraId="0C96C4A4" w14:textId="77777777" w:rsidR="00C12C17" w:rsidRPr="00A15711" w:rsidRDefault="004D73BD" w:rsidP="00C12C17">
            <w:pPr>
              <w:suppressAutoHyphens w:val="0"/>
              <w:autoSpaceDN/>
              <w:spacing w:before="60" w:after="60" w:line="240" w:lineRule="auto"/>
              <w:ind w:left="57" w:right="57"/>
              <w:rPr>
                <w:color w:val="0070C0"/>
                <w:sz w:val="22"/>
              </w:rPr>
            </w:pPr>
            <w:hyperlink r:id="rId19" w:history="1">
              <w:r w:rsidR="00C12C17" w:rsidRPr="00A15711">
                <w:rPr>
                  <w:color w:val="0070C0"/>
                  <w:sz w:val="22"/>
                  <w:u w:val="single"/>
                </w:rPr>
                <w:t>One to one tuition | EEF (educationendowmentfoundation.org.uk)</w:t>
              </w:r>
            </w:hyperlink>
          </w:p>
          <w:p w14:paraId="0F027D9B" w14:textId="77777777" w:rsidR="00C12C17" w:rsidRPr="00A15711" w:rsidRDefault="00C12C17" w:rsidP="00C12C17">
            <w:pPr>
              <w:suppressAutoHyphens w:val="0"/>
              <w:autoSpaceDN/>
              <w:spacing w:before="60" w:after="60" w:line="240" w:lineRule="auto"/>
              <w:ind w:left="57" w:right="57"/>
              <w:rPr>
                <w:color w:val="auto"/>
                <w:sz w:val="22"/>
              </w:rPr>
            </w:pPr>
          </w:p>
          <w:p w14:paraId="6D99555C" w14:textId="77777777" w:rsidR="00C12C17" w:rsidRPr="00A15711" w:rsidRDefault="00C12C17" w:rsidP="00C12C17">
            <w:pPr>
              <w:suppressAutoHyphens w:val="0"/>
              <w:autoSpaceDN/>
              <w:spacing w:before="60" w:after="60" w:line="240" w:lineRule="auto"/>
              <w:ind w:left="57" w:right="57"/>
              <w:rPr>
                <w:color w:val="auto"/>
                <w:sz w:val="22"/>
              </w:rPr>
            </w:pPr>
            <w:r w:rsidRPr="00A15711">
              <w:rPr>
                <w:color w:val="auto"/>
                <w:sz w:val="22"/>
              </w:rPr>
              <w:t>And in small groups:</w:t>
            </w:r>
          </w:p>
          <w:p w14:paraId="2A7D552E" w14:textId="2E6C9126" w:rsidR="00E66558" w:rsidRPr="00A15711" w:rsidRDefault="004D73BD" w:rsidP="00C12C17">
            <w:pPr>
              <w:pStyle w:val="TableRowCentered"/>
              <w:jc w:val="left"/>
              <w:rPr>
                <w:sz w:val="22"/>
              </w:rPr>
            </w:pPr>
            <w:hyperlink r:id="rId20" w:history="1">
              <w:r w:rsidR="00C12C17" w:rsidRPr="00A15711">
                <w:rPr>
                  <w:color w:val="0070C0"/>
                  <w:sz w:val="22"/>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08127FD" w:rsidR="00E66558" w:rsidRPr="00A15711" w:rsidRDefault="00814FB6">
            <w:pPr>
              <w:pStyle w:val="TableRowCentered"/>
              <w:jc w:val="left"/>
              <w:rPr>
                <w:sz w:val="22"/>
              </w:rPr>
            </w:pPr>
            <w:r>
              <w:rPr>
                <w:sz w:val="22"/>
              </w:rPr>
              <w:t>1,2 and 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CEF7E91" w:rsidR="00E66558" w:rsidRDefault="009D71E8">
      <w:pPr>
        <w:spacing w:before="240" w:after="120"/>
      </w:pPr>
      <w:r>
        <w:t xml:space="preserve">Budgeted cost: </w:t>
      </w:r>
      <w:r w:rsidR="00C0191A">
        <w:t>£16,</w:t>
      </w:r>
      <w:r w:rsidR="00F246B7">
        <w:t>5</w:t>
      </w:r>
      <w:r w:rsidR="005858D4">
        <w:t>00</w:t>
      </w:r>
    </w:p>
    <w:tbl>
      <w:tblPr>
        <w:tblW w:w="5000" w:type="pct"/>
        <w:tblCellMar>
          <w:left w:w="10" w:type="dxa"/>
          <w:right w:w="10" w:type="dxa"/>
        </w:tblCellMar>
        <w:tblLook w:val="04A0" w:firstRow="1" w:lastRow="0" w:firstColumn="1" w:lastColumn="0" w:noHBand="0" w:noVBand="1"/>
      </w:tblPr>
      <w:tblGrid>
        <w:gridCol w:w="2680"/>
        <w:gridCol w:w="4269"/>
        <w:gridCol w:w="2537"/>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73D85" w14:textId="164927BA" w:rsidR="005858D4" w:rsidRPr="00A15711" w:rsidRDefault="00E56753" w:rsidP="00E56753">
            <w:pPr>
              <w:pStyle w:val="TableRow"/>
              <w:ind w:left="0"/>
              <w:rPr>
                <w:sz w:val="22"/>
              </w:rPr>
            </w:pPr>
            <w:r w:rsidRPr="00A15711">
              <w:rPr>
                <w:sz w:val="22"/>
              </w:rPr>
              <w:t xml:space="preserve">Targeted </w:t>
            </w:r>
            <w:r w:rsidR="005858D4" w:rsidRPr="00A15711">
              <w:rPr>
                <w:sz w:val="22"/>
              </w:rPr>
              <w:t xml:space="preserve">SEMH and </w:t>
            </w:r>
            <w:r w:rsidRPr="00A15711">
              <w:rPr>
                <w:sz w:val="22"/>
              </w:rPr>
              <w:t xml:space="preserve">wellbeing </w:t>
            </w:r>
            <w:r w:rsidR="007379E2" w:rsidRPr="00A15711">
              <w:rPr>
                <w:sz w:val="22"/>
              </w:rPr>
              <w:t xml:space="preserve">support </w:t>
            </w:r>
            <w:r w:rsidR="005858D4" w:rsidRPr="00A15711">
              <w:rPr>
                <w:sz w:val="22"/>
              </w:rPr>
              <w:t>using strategies such as:</w:t>
            </w:r>
          </w:p>
          <w:p w14:paraId="290620B9" w14:textId="5A4C1ACA" w:rsidR="005858D4" w:rsidRPr="00A15711" w:rsidRDefault="005858D4" w:rsidP="005858D4">
            <w:pPr>
              <w:pStyle w:val="TableRow"/>
              <w:numPr>
                <w:ilvl w:val="0"/>
                <w:numId w:val="20"/>
              </w:numPr>
              <w:rPr>
                <w:sz w:val="22"/>
              </w:rPr>
            </w:pPr>
            <w:r w:rsidRPr="00A15711">
              <w:rPr>
                <w:sz w:val="22"/>
              </w:rPr>
              <w:t xml:space="preserve">The Wellbeing </w:t>
            </w:r>
            <w:proofErr w:type="gramStart"/>
            <w:r w:rsidRPr="00A15711">
              <w:rPr>
                <w:sz w:val="22"/>
              </w:rPr>
              <w:t>team</w:t>
            </w:r>
            <w:proofErr w:type="gramEnd"/>
          </w:p>
          <w:p w14:paraId="66F3E444" w14:textId="77777777" w:rsidR="005858D4" w:rsidRPr="00A15711" w:rsidRDefault="005858D4" w:rsidP="005858D4">
            <w:pPr>
              <w:pStyle w:val="TableRow"/>
              <w:numPr>
                <w:ilvl w:val="0"/>
                <w:numId w:val="20"/>
              </w:numPr>
              <w:rPr>
                <w:sz w:val="22"/>
              </w:rPr>
            </w:pPr>
            <w:r w:rsidRPr="00A15711">
              <w:rPr>
                <w:sz w:val="22"/>
              </w:rPr>
              <w:t>TFTF</w:t>
            </w:r>
          </w:p>
          <w:p w14:paraId="7B63D392" w14:textId="7228F9DB" w:rsidR="005858D4" w:rsidRPr="00A15711" w:rsidRDefault="005858D4" w:rsidP="00895179">
            <w:pPr>
              <w:pStyle w:val="TableRow"/>
              <w:numPr>
                <w:ilvl w:val="0"/>
                <w:numId w:val="20"/>
              </w:numPr>
              <w:rPr>
                <w:sz w:val="22"/>
              </w:rPr>
            </w:pPr>
            <w:r w:rsidRPr="00A15711">
              <w:rPr>
                <w:sz w:val="22"/>
              </w:rPr>
              <w:t>Nurture groups</w:t>
            </w:r>
          </w:p>
          <w:p w14:paraId="407AC8EA" w14:textId="77777777" w:rsidR="005858D4" w:rsidRPr="00A15711" w:rsidRDefault="005858D4" w:rsidP="005858D4">
            <w:pPr>
              <w:pStyle w:val="TableRow"/>
              <w:numPr>
                <w:ilvl w:val="0"/>
                <w:numId w:val="20"/>
              </w:numPr>
              <w:rPr>
                <w:sz w:val="22"/>
              </w:rPr>
            </w:pPr>
            <w:r w:rsidRPr="00A15711">
              <w:rPr>
                <w:sz w:val="22"/>
              </w:rPr>
              <w:t>Wellbeing hub</w:t>
            </w:r>
          </w:p>
          <w:p w14:paraId="2A7D5538" w14:textId="417A8B6E" w:rsidR="005858D4" w:rsidRPr="00A15711" w:rsidRDefault="005858D4" w:rsidP="005858D4">
            <w:pPr>
              <w:pStyle w:val="TableRow"/>
              <w:numPr>
                <w:ilvl w:val="0"/>
                <w:numId w:val="20"/>
              </w:numPr>
              <w:rPr>
                <w:sz w:val="22"/>
              </w:rPr>
            </w:pPr>
            <w:r w:rsidRPr="00A15711">
              <w:rPr>
                <w:sz w:val="22"/>
              </w:rPr>
              <w:t>Training in CMHFA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FF342" w14:textId="77777777" w:rsidR="00AA14DA" w:rsidRDefault="00AA14DA" w:rsidP="00AA14DA">
            <w:pPr>
              <w:pStyle w:val="TableRowCentered"/>
              <w:ind w:left="0"/>
              <w:jc w:val="left"/>
              <w:rPr>
                <w:rFonts w:cs="Arial"/>
                <w:color w:val="auto"/>
                <w:sz w:val="22"/>
                <w:szCs w:val="22"/>
              </w:rPr>
            </w:pPr>
            <w:r w:rsidRPr="00682EBC">
              <w:rPr>
                <w:rFonts w:cs="Arial"/>
                <w:color w:val="auto"/>
                <w:sz w:val="22"/>
                <w:szCs w:val="22"/>
              </w:rPr>
              <w:t>There is extensive evidence associating childhood social and emotional skills with improved outcomes at school and in later life</w:t>
            </w:r>
            <w:r>
              <w:rPr>
                <w:rFonts w:cs="Arial"/>
                <w:color w:val="auto"/>
                <w:sz w:val="22"/>
                <w:szCs w:val="22"/>
              </w:rPr>
              <w:t xml:space="preserve"> </w:t>
            </w:r>
            <w:r w:rsidRPr="00682EBC">
              <w:rPr>
                <w:rFonts w:cs="Arial"/>
                <w:color w:val="auto"/>
                <w:sz w:val="22"/>
                <w:szCs w:val="22"/>
              </w:rPr>
              <w:t>(e.g., improved academic performance, attitudes, behaviour and relationships with peers):</w:t>
            </w:r>
          </w:p>
          <w:p w14:paraId="2A7D5539" w14:textId="06143273" w:rsidR="00E66558" w:rsidRPr="00A15711" w:rsidRDefault="004D73BD" w:rsidP="00AA14DA">
            <w:pPr>
              <w:pStyle w:val="TableRowCentered"/>
              <w:jc w:val="left"/>
              <w:rPr>
                <w:sz w:val="22"/>
              </w:rPr>
            </w:pPr>
            <w:hyperlink r:id="rId21" w:history="1">
              <w:r w:rsidR="00AA14DA" w:rsidRPr="003952D8">
                <w:rPr>
                  <w:rStyle w:val="Hyperlink"/>
                  <w:color w:val="0070C0"/>
                  <w:sz w:val="22"/>
                  <w:szCs w:val="22"/>
                </w:rPr>
                <w:t>Social and emotional learning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5E80141" w:rsidR="00E66558" w:rsidRPr="00A15711" w:rsidRDefault="00814FB6">
            <w:pPr>
              <w:pStyle w:val="TableRowCentered"/>
              <w:jc w:val="left"/>
              <w:rPr>
                <w:sz w:val="22"/>
              </w:rPr>
            </w:pPr>
            <w:r>
              <w:rPr>
                <w:sz w:val="22"/>
              </w:rPr>
              <w:t>5</w:t>
            </w:r>
          </w:p>
        </w:tc>
      </w:tr>
      <w:tr w:rsidR="007379E2" w14:paraId="2EB0642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94DB" w14:textId="3499DC23" w:rsidR="00AA14DA" w:rsidRDefault="00AA14DA" w:rsidP="00AA14DA">
            <w:pPr>
              <w:rPr>
                <w:rFonts w:cs="Arial"/>
                <w:sz w:val="22"/>
                <w:szCs w:val="22"/>
              </w:rPr>
            </w:pPr>
            <w:r>
              <w:rPr>
                <w:iCs/>
                <w:color w:val="auto"/>
                <w:sz w:val="22"/>
                <w:szCs w:val="28"/>
                <w:lang w:val="en-US"/>
              </w:rPr>
              <w:t xml:space="preserve">EWO to target and develop relationships with families to </w:t>
            </w:r>
            <w:r w:rsidR="00D21B12" w:rsidRPr="00DA3362">
              <w:rPr>
                <w:rFonts w:cs="Arial"/>
                <w:sz w:val="22"/>
                <w:szCs w:val="22"/>
              </w:rPr>
              <w:t>improve</w:t>
            </w:r>
            <w:r w:rsidRPr="00DA3362">
              <w:rPr>
                <w:rFonts w:cs="Arial"/>
                <w:sz w:val="22"/>
                <w:szCs w:val="22"/>
              </w:rPr>
              <w:t xml:space="preserve"> attendance of key PP pupils/families to meet expectations of 9</w:t>
            </w:r>
            <w:r>
              <w:rPr>
                <w:rFonts w:cs="Arial"/>
                <w:sz w:val="22"/>
                <w:szCs w:val="22"/>
              </w:rPr>
              <w:t>7+</w:t>
            </w:r>
            <w:r w:rsidRPr="00DA3362">
              <w:rPr>
                <w:rFonts w:cs="Arial"/>
                <w:sz w:val="22"/>
                <w:szCs w:val="22"/>
              </w:rPr>
              <w:t xml:space="preserve">% </w:t>
            </w:r>
          </w:p>
          <w:p w14:paraId="0F0BDF6A" w14:textId="29AFF76D" w:rsidR="007379E2" w:rsidRPr="00AA14DA" w:rsidRDefault="007379E2" w:rsidP="00AA14DA">
            <w:pPr>
              <w:rPr>
                <w:rFonts w:cs="Arial"/>
                <w:sz w:val="22"/>
                <w:szCs w:val="22"/>
              </w:rPr>
            </w:pPr>
            <w:r w:rsidRPr="00A15711">
              <w:rPr>
                <w:iCs/>
                <w:color w:val="auto"/>
                <w:sz w:val="22"/>
                <w:szCs w:val="28"/>
                <w:lang w:val="en-US"/>
              </w:rPr>
              <w:t>This will involve training and release t</w:t>
            </w:r>
            <w:bookmarkStart w:id="17" w:name="_GoBack"/>
            <w:bookmarkEnd w:id="17"/>
            <w:r w:rsidRPr="00A15711">
              <w:rPr>
                <w:iCs/>
                <w:color w:val="auto"/>
                <w:sz w:val="22"/>
                <w:szCs w:val="28"/>
                <w:lang w:val="en-US"/>
              </w:rPr>
              <w:t>ime for staff to develop and implement procedures</w:t>
            </w:r>
            <w:r w:rsidR="00AA14DA">
              <w:rPr>
                <w:iCs/>
                <w:color w:val="auto"/>
                <w:sz w:val="22"/>
                <w:szCs w:val="28"/>
                <w:lang w:val="en-US"/>
              </w:rPr>
              <w:t xml:space="preserve">. </w:t>
            </w:r>
            <w:r w:rsidRPr="00A15711">
              <w:rPr>
                <w:iCs/>
                <w:color w:val="auto"/>
                <w:sz w:val="22"/>
                <w:szCs w:val="28"/>
                <w:lang w:val="en-US"/>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68E6B" w14:textId="02B893D9" w:rsidR="007379E2" w:rsidRPr="00A15711" w:rsidRDefault="007379E2" w:rsidP="007379E2">
            <w:pPr>
              <w:pStyle w:val="TableRowCentered"/>
              <w:jc w:val="left"/>
              <w:rPr>
                <w:sz w:val="22"/>
              </w:rPr>
            </w:pPr>
            <w:r w:rsidRPr="00A15711">
              <w:rPr>
                <w:color w:val="auto"/>
                <w:sz w:val="22"/>
              </w:rPr>
              <w:t xml:space="preserve">The DfE guidance has been informed by engagement with schools that have significantly reduced levels of absence and persistent absence.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27F75" w14:textId="017231DB" w:rsidR="007379E2" w:rsidRPr="00A15711" w:rsidRDefault="00814FB6" w:rsidP="007379E2">
            <w:pPr>
              <w:pStyle w:val="TableRowCentered"/>
              <w:jc w:val="left"/>
              <w:rPr>
                <w:sz w:val="22"/>
              </w:rPr>
            </w:pPr>
            <w:r>
              <w:rPr>
                <w:sz w:val="22"/>
              </w:rPr>
              <w:t>7</w:t>
            </w:r>
          </w:p>
        </w:tc>
      </w:tr>
      <w:tr w:rsidR="00E56753" w14:paraId="33966B6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DDD43" w14:textId="77777777" w:rsidR="00D21FC5" w:rsidRPr="00A15711" w:rsidRDefault="00D21FC5" w:rsidP="00E56753">
            <w:pPr>
              <w:pStyle w:val="TableRow"/>
              <w:ind w:left="0"/>
              <w:rPr>
                <w:sz w:val="22"/>
              </w:rPr>
            </w:pPr>
            <w:r w:rsidRPr="00A15711">
              <w:rPr>
                <w:sz w:val="22"/>
              </w:rPr>
              <w:t>Enrichment opportunities including:</w:t>
            </w:r>
          </w:p>
          <w:p w14:paraId="3F8E4418" w14:textId="4A86787D" w:rsidR="00E56753" w:rsidRPr="00A15711" w:rsidRDefault="00D21FC5" w:rsidP="00E56753">
            <w:pPr>
              <w:pStyle w:val="TableRow"/>
              <w:ind w:left="0"/>
              <w:rPr>
                <w:sz w:val="22"/>
              </w:rPr>
            </w:pPr>
            <w:r w:rsidRPr="00A15711">
              <w:rPr>
                <w:sz w:val="22"/>
              </w:rPr>
              <w:t>-</w:t>
            </w:r>
            <w:r w:rsidR="0086167D">
              <w:rPr>
                <w:sz w:val="22"/>
              </w:rPr>
              <w:t xml:space="preserve">Before &amp; </w:t>
            </w:r>
            <w:r w:rsidR="00E56753" w:rsidRPr="00A15711">
              <w:rPr>
                <w:sz w:val="22"/>
              </w:rPr>
              <w:t>After-school clubs</w:t>
            </w:r>
          </w:p>
          <w:p w14:paraId="4E10E5DD" w14:textId="77777777" w:rsidR="00D21FC5" w:rsidRPr="00A15711" w:rsidRDefault="00D21FC5" w:rsidP="00E56753">
            <w:pPr>
              <w:pStyle w:val="TableRow"/>
              <w:ind w:left="0"/>
              <w:rPr>
                <w:sz w:val="22"/>
              </w:rPr>
            </w:pPr>
            <w:r w:rsidRPr="00A15711">
              <w:rPr>
                <w:sz w:val="22"/>
              </w:rPr>
              <w:t>-50B4Y7</w:t>
            </w:r>
          </w:p>
          <w:p w14:paraId="68122981" w14:textId="67A9B291" w:rsidR="00D21FC5" w:rsidRPr="00A15711" w:rsidRDefault="00D21FC5" w:rsidP="00E56753">
            <w:pPr>
              <w:pStyle w:val="TableRow"/>
              <w:ind w:left="0"/>
              <w:rPr>
                <w:sz w:val="22"/>
              </w:rPr>
            </w:pPr>
            <w:r w:rsidRPr="00A15711">
              <w:rPr>
                <w:sz w:val="22"/>
              </w:rPr>
              <w:t>-Broadening life skills including cultural capital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9B927" w14:textId="77777777" w:rsidR="00AE08D0" w:rsidRPr="00AE08D0" w:rsidRDefault="00AE08D0" w:rsidP="00E56753">
            <w:pPr>
              <w:pStyle w:val="TableRowCentered"/>
              <w:ind w:left="0"/>
              <w:jc w:val="left"/>
              <w:rPr>
                <w:rFonts w:cs="Arial"/>
                <w:color w:val="263238"/>
                <w:sz w:val="22"/>
                <w:szCs w:val="22"/>
                <w:shd w:val="clear" w:color="auto" w:fill="FFFFFF"/>
              </w:rPr>
            </w:pPr>
            <w:r w:rsidRPr="00AE08D0">
              <w:rPr>
                <w:rFonts w:cs="Arial"/>
                <w:color w:val="263238"/>
                <w:sz w:val="22"/>
                <w:szCs w:val="22"/>
                <w:shd w:val="clear" w:color="auto" w:fill="FFFFFF"/>
              </w:rPr>
              <w:t>At the EEF, we think enriching education has intrinsic benefits (sometimes referred to as ​</w:t>
            </w:r>
            <w:r w:rsidRPr="00AE08D0">
              <w:rPr>
                <w:rStyle w:val="pull-double"/>
                <w:rFonts w:cs="Arial"/>
                <w:color w:val="263238"/>
                <w:sz w:val="22"/>
                <w:szCs w:val="22"/>
                <w:bdr w:val="single" w:sz="2" w:space="0" w:color="auto" w:frame="1"/>
                <w:shd w:val="clear" w:color="auto" w:fill="FFFFFF"/>
              </w:rPr>
              <w:t>“</w:t>
            </w:r>
            <w:hyperlink r:id="rId22" w:history="1">
              <w:r w:rsidRPr="00AE08D0">
                <w:rPr>
                  <w:rStyle w:val="Hyperlink"/>
                  <w:rFonts w:cs="Arial"/>
                  <w:color w:val="212121"/>
                  <w:sz w:val="22"/>
                  <w:szCs w:val="22"/>
                  <w:bdr w:val="single" w:sz="2" w:space="0" w:color="auto" w:frame="1"/>
                  <w:shd w:val="clear" w:color="auto" w:fill="FFFFFF"/>
                </w:rPr>
                <w:t>arts for arts’ sake</w:t>
              </w:r>
            </w:hyperlink>
            <w:r w:rsidRPr="00AE08D0">
              <w:rPr>
                <w:rFonts w:cs="Arial"/>
                <w:color w:val="263238"/>
                <w:sz w:val="22"/>
                <w:szCs w:val="22"/>
                <w:shd w:val="clear" w:color="auto" w:fill="FFFFFF"/>
              </w:rPr>
              <w:t>”). We think all children, including those from disadvantaged backgrounds, deserve a well-rounded, culturally rich, education.</w:t>
            </w:r>
          </w:p>
          <w:p w14:paraId="05E07C87" w14:textId="77777777" w:rsidR="00AE08D0" w:rsidRDefault="00AE08D0" w:rsidP="00E56753">
            <w:pPr>
              <w:pStyle w:val="TableRowCentered"/>
              <w:ind w:left="0"/>
              <w:jc w:val="left"/>
              <w:rPr>
                <w:sz w:val="22"/>
              </w:rPr>
            </w:pPr>
          </w:p>
          <w:p w14:paraId="1BCF3892" w14:textId="70910101" w:rsidR="00AE08D0" w:rsidRPr="00A15711" w:rsidRDefault="00AE08D0" w:rsidP="00E56753">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9F26E" w14:textId="04C3DB2B" w:rsidR="00E56753" w:rsidRPr="00A15711" w:rsidRDefault="00814FB6">
            <w:pPr>
              <w:pStyle w:val="TableRowCentered"/>
              <w:jc w:val="left"/>
              <w:rPr>
                <w:sz w:val="22"/>
              </w:rPr>
            </w:pPr>
            <w:r>
              <w:rPr>
                <w:sz w:val="22"/>
              </w:rPr>
              <w:t>5, 6, 8</w:t>
            </w:r>
          </w:p>
        </w:tc>
      </w:tr>
      <w:tr w:rsidR="00E56753" w14:paraId="5703E5F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662B6" w14:textId="6CD95A29" w:rsidR="00E56753" w:rsidRPr="00A15711" w:rsidRDefault="005858D4" w:rsidP="00E56753">
            <w:pPr>
              <w:pStyle w:val="TableRow"/>
              <w:ind w:left="0"/>
              <w:rPr>
                <w:sz w:val="22"/>
              </w:rPr>
            </w:pPr>
            <w:r w:rsidRPr="00A15711">
              <w:rPr>
                <w:sz w:val="22"/>
              </w:rPr>
              <w:t>Increase parental engagement and offer w</w:t>
            </w:r>
            <w:r w:rsidR="00E56753" w:rsidRPr="00A15711">
              <w:rPr>
                <w:sz w:val="22"/>
              </w:rPr>
              <w:t>ellbeing support for parents</w:t>
            </w:r>
            <w:r w:rsidRPr="00A15711">
              <w:rPr>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8FDD9" w14:textId="6C9712A8" w:rsidR="00E56753" w:rsidRPr="00AE08D0" w:rsidRDefault="00AE08D0" w:rsidP="00E56753">
            <w:pPr>
              <w:pStyle w:val="TableRowCentered"/>
              <w:ind w:left="0"/>
              <w:jc w:val="left"/>
              <w:rPr>
                <w:sz w:val="22"/>
                <w:szCs w:val="22"/>
              </w:rPr>
            </w:pPr>
            <w:r w:rsidRPr="00AE08D0">
              <w:rPr>
                <w:sz w:val="22"/>
                <w:szCs w:val="22"/>
              </w:rPr>
              <w:t xml:space="preserve">A report called “Parental Engagement: Evidence from Research and </w:t>
            </w:r>
            <w:proofErr w:type="gramStart"/>
            <w:r w:rsidRPr="00AE08D0">
              <w:rPr>
                <w:sz w:val="22"/>
                <w:szCs w:val="22"/>
              </w:rPr>
              <w:t>Practice”  published</w:t>
            </w:r>
            <w:proofErr w:type="gramEnd"/>
            <w:r w:rsidRPr="00AE08D0">
              <w:rPr>
                <w:sz w:val="22"/>
                <w:szCs w:val="22"/>
              </w:rPr>
              <w:t xml:space="preserve"> by The EEF states</w:t>
            </w:r>
            <w:r w:rsidR="00CC783C">
              <w:rPr>
                <w:sz w:val="22"/>
                <w:szCs w:val="22"/>
              </w:rPr>
              <w:t>:</w:t>
            </w:r>
          </w:p>
          <w:p w14:paraId="6615B29C" w14:textId="5C31823A" w:rsidR="00AE08D0" w:rsidRPr="00AE08D0" w:rsidRDefault="00AE08D0" w:rsidP="00E56753">
            <w:pPr>
              <w:pStyle w:val="TableRowCentered"/>
              <w:ind w:left="0"/>
              <w:jc w:val="left"/>
              <w:rPr>
                <w:sz w:val="22"/>
                <w:szCs w:val="22"/>
              </w:rPr>
            </w:pPr>
            <w:r w:rsidRPr="00AE08D0">
              <w:rPr>
                <w:sz w:val="22"/>
                <w:szCs w:val="22"/>
              </w:rPr>
              <w:t xml:space="preserve">“The importance of parent engagement in children’s learning is widely acknowledged (e.g. Goodall 2017), indeed the evidence suggests that it has many benefits, such as improvements in literacy and maths skills (Van </w:t>
            </w:r>
            <w:proofErr w:type="spellStart"/>
            <w:r w:rsidRPr="00AE08D0">
              <w:rPr>
                <w:sz w:val="22"/>
                <w:szCs w:val="22"/>
              </w:rPr>
              <w:t>Voorhis</w:t>
            </w:r>
            <w:proofErr w:type="spellEnd"/>
            <w:r w:rsidRPr="00AE08D0">
              <w:rPr>
                <w:sz w:val="22"/>
                <w:szCs w:val="22"/>
              </w:rPr>
              <w:t xml:space="preserve"> et al. 2013), better school attendance (McConnell and Kubina 2014) and closure of the achievement gap (Goodall 2017).</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20A59" w14:textId="68BBA33C" w:rsidR="00E56753" w:rsidRPr="00A15711" w:rsidRDefault="00814FB6">
            <w:pPr>
              <w:pStyle w:val="TableRowCentered"/>
              <w:jc w:val="left"/>
              <w:rPr>
                <w:sz w:val="22"/>
              </w:rPr>
            </w:pPr>
            <w:r>
              <w:rPr>
                <w:sz w:val="22"/>
              </w:rPr>
              <w:t>6</w:t>
            </w:r>
          </w:p>
        </w:tc>
      </w:tr>
    </w:tbl>
    <w:p w14:paraId="2A7D5540" w14:textId="77777777" w:rsidR="00E66558" w:rsidRDefault="00E66558">
      <w:pPr>
        <w:spacing w:before="240" w:after="0"/>
        <w:rPr>
          <w:b/>
          <w:bCs/>
          <w:color w:val="104F75"/>
          <w:sz w:val="28"/>
          <w:szCs w:val="28"/>
        </w:rPr>
      </w:pPr>
    </w:p>
    <w:p w14:paraId="2A7D5541" w14:textId="7724CE7A" w:rsidR="00E66558" w:rsidRDefault="009D71E8" w:rsidP="00120AB1">
      <w:r>
        <w:rPr>
          <w:b/>
          <w:bCs/>
          <w:color w:val="104F75"/>
          <w:sz w:val="28"/>
          <w:szCs w:val="28"/>
        </w:rPr>
        <w:t>Total budgeted cost: £</w:t>
      </w:r>
      <w:r w:rsidR="0004453F">
        <w:rPr>
          <w:b/>
          <w:bCs/>
          <w:color w:val="104F75"/>
          <w:sz w:val="28"/>
          <w:szCs w:val="28"/>
        </w:rPr>
        <w:t>64,600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2858FFE4" w:rsidR="00E66558" w:rsidRDefault="009D71E8">
      <w:r>
        <w:t>This details the impact that our pupil premium activity had on pupils in the 202</w:t>
      </w:r>
      <w:r w:rsidR="002E318A">
        <w:t>1</w:t>
      </w:r>
      <w:r>
        <w:t xml:space="preserve"> to 202</w:t>
      </w:r>
      <w:r w:rsidR="002E318A">
        <w:t xml:space="preserve">2 </w:t>
      </w:r>
      <w:r>
        <w:t xml:space="preserve">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02F6576">
        <w:trPr>
          <w:trHeight w:val="699"/>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628D5" w14:textId="1DE70D97" w:rsidR="007F30F5" w:rsidRPr="00A015A0" w:rsidRDefault="007F30F5" w:rsidP="007F30F5">
            <w:pPr>
              <w:suppressAutoHyphens w:val="0"/>
              <w:autoSpaceDN/>
              <w:spacing w:before="120"/>
              <w:rPr>
                <w:rFonts w:cs="Arial"/>
                <w:sz w:val="22"/>
                <w:szCs w:val="22"/>
              </w:rPr>
            </w:pPr>
            <w:r w:rsidRPr="00A015A0">
              <w:rPr>
                <w:rFonts w:cs="Arial"/>
                <w:sz w:val="22"/>
                <w:szCs w:val="22"/>
              </w:rPr>
              <w:t xml:space="preserve">The national picture would imply that this will rise further due to the current economic crisis we are facing within the country, it should also be noted that our PP funding received is still based on last academic figures. </w:t>
            </w:r>
          </w:p>
          <w:p w14:paraId="47E8A2D5" w14:textId="77777777" w:rsidR="007F30F5" w:rsidRPr="00A015A0" w:rsidRDefault="007F30F5" w:rsidP="007F30F5">
            <w:pPr>
              <w:autoSpaceDN/>
              <w:spacing w:before="120"/>
              <w:rPr>
                <w:rFonts w:cs="Arial"/>
                <w:color w:val="000000" w:themeColor="text1"/>
                <w:sz w:val="22"/>
                <w:lang w:eastAsia="en-US"/>
              </w:rPr>
            </w:pPr>
            <w:r w:rsidRPr="00A015A0">
              <w:rPr>
                <w:rFonts w:cs="Arial"/>
                <w:color w:val="auto"/>
                <w:sz w:val="22"/>
                <w:lang w:eastAsia="en-US"/>
              </w:rPr>
              <w:t>We have analysed the performance of our school’s disadvantaged pupils during the 2021/22 academic year using key stage 1 and 2 performance data, phonics check results and our own internal assessments.</w:t>
            </w:r>
            <w:r w:rsidRPr="00A015A0">
              <w:rPr>
                <w:rFonts w:cs="Arial"/>
                <w:color w:val="000000" w:themeColor="text1"/>
                <w:sz w:val="22"/>
                <w:lang w:eastAsia="en-US"/>
              </w:rPr>
              <w:t xml:space="preserve"> </w:t>
            </w:r>
          </w:p>
          <w:p w14:paraId="5BC132F9" w14:textId="4C2F2699" w:rsidR="007F30F5" w:rsidRPr="00A015A0" w:rsidRDefault="007F30F5" w:rsidP="007F30F5">
            <w:pPr>
              <w:autoSpaceDN/>
              <w:spacing w:before="120"/>
              <w:rPr>
                <w:rFonts w:cs="Arial"/>
                <w:color w:val="000000" w:themeColor="text1"/>
                <w:sz w:val="22"/>
                <w:shd w:val="clear" w:color="auto" w:fill="FFFFFF"/>
              </w:rPr>
            </w:pPr>
            <w:r w:rsidRPr="00A015A0">
              <w:rPr>
                <w:rFonts w:cs="Arial"/>
                <w:color w:val="000000" w:themeColor="text1"/>
                <w:sz w:val="22"/>
                <w:lang w:eastAsia="en-US"/>
              </w:rPr>
              <w:t xml:space="preserve">Schools are not required to publish their 2022 key stage 2 results as DfE </w:t>
            </w:r>
            <w:r w:rsidRPr="00A015A0">
              <w:rPr>
                <w:rFonts w:cs="Arial"/>
                <w:color w:val="000000" w:themeColor="text1"/>
                <w:sz w:val="22"/>
                <w:shd w:val="clear" w:color="auto" w:fill="FFFFFF"/>
              </w:rPr>
              <w:t xml:space="preserve">is not publishing this data. This is because statutory assessments returned for the first time since 2019, without adaptations, after disruption caused by the pandemic. This is a transitional arrangement for one year only, and DfE plans to publish key stage 2 school performance data for 2023. </w:t>
            </w:r>
          </w:p>
          <w:p w14:paraId="6DE1E2D5" w14:textId="44C8740C" w:rsidR="007F30F5" w:rsidRPr="00A015A0" w:rsidRDefault="007F30F5" w:rsidP="007F30F5">
            <w:pPr>
              <w:autoSpaceDN/>
              <w:spacing w:before="120"/>
              <w:rPr>
                <w:color w:val="auto"/>
                <w:sz w:val="22"/>
                <w:lang w:eastAsia="en-US"/>
              </w:rPr>
            </w:pPr>
            <w:r w:rsidRPr="00A015A0">
              <w:rPr>
                <w:rFonts w:cs="Arial"/>
                <w:color w:val="auto"/>
                <w:sz w:val="22"/>
                <w:lang w:eastAsia="en-US"/>
              </w:rPr>
              <w:t xml:space="preserve">DfE has shared our school’s 2022 performance data with us, to help us better understand the impact of the pandemic on our pupils and how this varies between different groups of pupils. </w:t>
            </w:r>
            <w:r w:rsidRPr="00A015A0">
              <w:rPr>
                <w:color w:val="auto"/>
                <w:sz w:val="22"/>
                <w:lang w:eastAsia="en-US"/>
              </w:rPr>
              <w:t>COVID-19 had a significant impact on the education system and this disruption affected schools and pupils differently, and because of this, it is more difficult to interpret why the results are as they are using the data alone. To help us gauge the performance of our disadvantaged pupils we compared our results to those for disadvantaged and non-disadvantaged pupils at a national We also looked at these comparisons using pre-pandemic scores for 2019, in order to assess how the performance of our disadvantaged pupils has changed during this period. Please see the results below:</w:t>
            </w:r>
          </w:p>
          <w:p w14:paraId="52BC579C" w14:textId="1E79EFF7" w:rsidR="007F30F5" w:rsidRPr="00A015A0" w:rsidRDefault="007F30F5" w:rsidP="007F30F5">
            <w:pPr>
              <w:pStyle w:val="Heading2"/>
              <w:rPr>
                <w:color w:val="17365D" w:themeColor="text2" w:themeShade="BF"/>
                <w:sz w:val="22"/>
                <w:szCs w:val="24"/>
              </w:rPr>
            </w:pPr>
            <w:r w:rsidRPr="00A015A0">
              <w:rPr>
                <w:color w:val="17365D" w:themeColor="text2" w:themeShade="BF"/>
                <w:sz w:val="22"/>
                <w:szCs w:val="24"/>
              </w:rPr>
              <w:t>KS2 Disadvantaged pupil verses Non-Disadvantaged results for academic years 2019 to 2022.</w:t>
            </w:r>
          </w:p>
          <w:tbl>
            <w:tblPr>
              <w:tblW w:w="8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600"/>
              <w:gridCol w:w="60"/>
              <w:gridCol w:w="1155"/>
              <w:gridCol w:w="720"/>
              <w:gridCol w:w="863"/>
              <w:gridCol w:w="851"/>
              <w:gridCol w:w="992"/>
              <w:gridCol w:w="992"/>
              <w:gridCol w:w="1134"/>
              <w:gridCol w:w="992"/>
            </w:tblGrid>
            <w:tr w:rsidR="00814FB5" w:rsidRPr="00965E01" w14:paraId="37BD2A07" w14:textId="77777777" w:rsidTr="00C1329D">
              <w:trPr>
                <w:trHeight w:val="577"/>
              </w:trPr>
              <w:tc>
                <w:tcPr>
                  <w:tcW w:w="1245" w:type="dxa"/>
                  <w:gridSpan w:val="3"/>
                  <w:tcBorders>
                    <w:top w:val="single" w:sz="6" w:space="0" w:color="auto"/>
                    <w:left w:val="single" w:sz="6" w:space="0" w:color="auto"/>
                    <w:bottom w:val="single" w:sz="6" w:space="0" w:color="auto"/>
                    <w:right w:val="single" w:sz="6" w:space="0" w:color="auto"/>
                  </w:tcBorders>
                  <w:shd w:val="clear" w:color="auto" w:fill="EEECE1" w:themeFill="background2"/>
                  <w:vAlign w:val="center"/>
                  <w:hideMark/>
                </w:tcPr>
                <w:p w14:paraId="760AF7F9"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b/>
                      <w:bCs/>
                      <w:color w:val="auto"/>
                      <w:sz w:val="22"/>
                      <w:szCs w:val="22"/>
                    </w:rPr>
                    <w:t>Phase</w:t>
                  </w:r>
                </w:p>
                <w:p w14:paraId="1DD8085D"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p>
              </w:tc>
              <w:tc>
                <w:tcPr>
                  <w:tcW w:w="1875" w:type="dxa"/>
                  <w:gridSpan w:val="2"/>
                  <w:tcBorders>
                    <w:top w:val="single" w:sz="6" w:space="0" w:color="auto"/>
                    <w:left w:val="single" w:sz="6" w:space="0" w:color="auto"/>
                    <w:bottom w:val="single" w:sz="6" w:space="0" w:color="auto"/>
                    <w:right w:val="single" w:sz="6" w:space="0" w:color="auto"/>
                  </w:tcBorders>
                  <w:shd w:val="clear" w:color="auto" w:fill="EEECE1" w:themeFill="background2"/>
                  <w:vAlign w:val="center"/>
                  <w:hideMark/>
                </w:tcPr>
                <w:p w14:paraId="03C5A9D6"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b/>
                      <w:bCs/>
                      <w:color w:val="auto"/>
                      <w:sz w:val="22"/>
                      <w:szCs w:val="22"/>
                    </w:rPr>
                    <w:t>Aspect</w:t>
                  </w:r>
                </w:p>
              </w:tc>
              <w:tc>
                <w:tcPr>
                  <w:tcW w:w="1714" w:type="dxa"/>
                  <w:gridSpan w:val="2"/>
                  <w:tcBorders>
                    <w:top w:val="single" w:sz="6" w:space="0" w:color="auto"/>
                    <w:left w:val="single" w:sz="6" w:space="0" w:color="auto"/>
                    <w:bottom w:val="single" w:sz="6" w:space="0" w:color="auto"/>
                    <w:right w:val="single" w:sz="6" w:space="0" w:color="auto"/>
                  </w:tcBorders>
                  <w:shd w:val="clear" w:color="auto" w:fill="EEECE1" w:themeFill="background2"/>
                  <w:vAlign w:val="center"/>
                  <w:hideMark/>
                </w:tcPr>
                <w:p w14:paraId="5111263F"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b/>
                      <w:bCs/>
                      <w:color w:val="auto"/>
                      <w:sz w:val="22"/>
                      <w:szCs w:val="22"/>
                    </w:rPr>
                    <w:t>2019</w:t>
                  </w:r>
                </w:p>
                <w:p w14:paraId="19F51EDF"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EEECE1" w:themeFill="background2"/>
                  <w:vAlign w:val="center"/>
                  <w:hideMark/>
                </w:tcPr>
                <w:p w14:paraId="6BAE1EA3"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b/>
                      <w:bCs/>
                      <w:color w:val="auto"/>
                      <w:sz w:val="22"/>
                      <w:szCs w:val="22"/>
                    </w:rPr>
                    <w:t>2022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8D08D"/>
                  <w:hideMark/>
                </w:tcPr>
                <w:p w14:paraId="11DA33F3"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p>
                <w:p w14:paraId="7B07B7EE" w14:textId="77777777" w:rsidR="00814FB5" w:rsidRPr="002F2D9F" w:rsidRDefault="00814FB5" w:rsidP="00814FB5">
                  <w:pPr>
                    <w:suppressAutoHyphens w:val="0"/>
                    <w:autoSpaceDN/>
                    <w:spacing w:after="0" w:line="240" w:lineRule="auto"/>
                    <w:jc w:val="center"/>
                    <w:textAlignment w:val="baseline"/>
                    <w:rPr>
                      <w:rFonts w:cs="Arial"/>
                      <w:b/>
                      <w:color w:val="auto"/>
                      <w:sz w:val="22"/>
                      <w:szCs w:val="22"/>
                    </w:rPr>
                  </w:pPr>
                  <w:r w:rsidRPr="002F2D9F">
                    <w:rPr>
                      <w:rFonts w:cs="Arial"/>
                      <w:b/>
                      <w:color w:val="auto"/>
                      <w:sz w:val="22"/>
                      <w:szCs w:val="22"/>
                    </w:rPr>
                    <w:t>National</w:t>
                  </w:r>
                </w:p>
                <w:p w14:paraId="722830AD" w14:textId="77777777" w:rsidR="00814FB5" w:rsidRPr="00965E01" w:rsidRDefault="00814FB5" w:rsidP="00814FB5">
                  <w:pPr>
                    <w:suppressAutoHyphens w:val="0"/>
                    <w:autoSpaceDN/>
                    <w:spacing w:after="0" w:line="240" w:lineRule="auto"/>
                    <w:jc w:val="center"/>
                    <w:textAlignment w:val="baseline"/>
                    <w:rPr>
                      <w:rFonts w:cs="Arial"/>
                      <w:b/>
                      <w:color w:val="auto"/>
                      <w:sz w:val="22"/>
                      <w:szCs w:val="22"/>
                    </w:rPr>
                  </w:pPr>
                  <w:r w:rsidRPr="002F2D9F">
                    <w:rPr>
                      <w:rFonts w:cs="Arial"/>
                      <w:b/>
                      <w:color w:val="auto"/>
                      <w:sz w:val="22"/>
                      <w:szCs w:val="22"/>
                    </w:rPr>
                    <w:t>2022</w:t>
                  </w:r>
                </w:p>
                <w:p w14:paraId="0AE04992"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p>
                <w:p w14:paraId="59732F18"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p>
                <w:p w14:paraId="32E28961"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p>
              </w:tc>
            </w:tr>
            <w:tr w:rsidR="00814FB5" w:rsidRPr="00965E01" w14:paraId="710F4EF4" w14:textId="77777777" w:rsidTr="00C1329D">
              <w:trPr>
                <w:trHeight w:val="270"/>
              </w:trPr>
              <w:tc>
                <w:tcPr>
                  <w:tcW w:w="3120" w:type="dxa"/>
                  <w:gridSpan w:val="5"/>
                  <w:tcBorders>
                    <w:top w:val="single" w:sz="6" w:space="0" w:color="auto"/>
                    <w:left w:val="single" w:sz="6" w:space="0" w:color="auto"/>
                    <w:bottom w:val="single" w:sz="6" w:space="0" w:color="auto"/>
                    <w:right w:val="single" w:sz="6" w:space="0" w:color="auto"/>
                  </w:tcBorders>
                  <w:shd w:val="clear" w:color="auto" w:fill="EEECE1" w:themeFill="background2"/>
                  <w:hideMark/>
                </w:tcPr>
                <w:p w14:paraId="6F021593"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 </w:t>
                  </w:r>
                </w:p>
              </w:tc>
              <w:tc>
                <w:tcPr>
                  <w:tcW w:w="863" w:type="dxa"/>
                  <w:tcBorders>
                    <w:top w:val="single" w:sz="6" w:space="0" w:color="auto"/>
                    <w:left w:val="single" w:sz="6" w:space="0" w:color="auto"/>
                    <w:bottom w:val="single" w:sz="6" w:space="0" w:color="auto"/>
                    <w:right w:val="single" w:sz="6" w:space="0" w:color="auto"/>
                  </w:tcBorders>
                  <w:shd w:val="clear" w:color="auto" w:fill="EEECE1" w:themeFill="background2"/>
                  <w:hideMark/>
                </w:tcPr>
                <w:p w14:paraId="3E0289BC"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Pr>
                      <w:rFonts w:cs="Arial"/>
                      <w:b/>
                      <w:bCs/>
                      <w:color w:val="auto"/>
                      <w:sz w:val="22"/>
                      <w:szCs w:val="22"/>
                    </w:rPr>
                    <w:t>Dis</w:t>
                  </w:r>
                  <w:r w:rsidRPr="002F2D9F">
                    <w:rPr>
                      <w:rFonts w:cs="Arial"/>
                      <w:color w:val="auto"/>
                      <w:sz w:val="22"/>
                      <w:szCs w:val="22"/>
                    </w:rPr>
                    <w:t> </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hideMark/>
                </w:tcPr>
                <w:p w14:paraId="026AC957"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b/>
                      <w:bCs/>
                      <w:color w:val="auto"/>
                      <w:sz w:val="22"/>
                      <w:szCs w:val="22"/>
                    </w:rPr>
                    <w:t>Non-</w:t>
                  </w:r>
                  <w:r>
                    <w:rPr>
                      <w:rFonts w:cs="Arial"/>
                      <w:b/>
                      <w:bCs/>
                      <w:color w:val="auto"/>
                      <w:sz w:val="22"/>
                      <w:szCs w:val="22"/>
                    </w:rPr>
                    <w:t>Dis</w:t>
                  </w:r>
                </w:p>
              </w:tc>
              <w:tc>
                <w:tcPr>
                  <w:tcW w:w="992" w:type="dxa"/>
                  <w:tcBorders>
                    <w:top w:val="single" w:sz="6" w:space="0" w:color="auto"/>
                    <w:left w:val="single" w:sz="6" w:space="0" w:color="auto"/>
                    <w:bottom w:val="single" w:sz="6" w:space="0" w:color="auto"/>
                    <w:right w:val="single" w:sz="6" w:space="0" w:color="auto"/>
                  </w:tcBorders>
                  <w:shd w:val="clear" w:color="auto" w:fill="EEECE1" w:themeFill="background2"/>
                  <w:hideMark/>
                </w:tcPr>
                <w:p w14:paraId="55BAD27D"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Pr>
                      <w:rFonts w:cs="Arial"/>
                      <w:b/>
                      <w:bCs/>
                      <w:color w:val="auto"/>
                      <w:sz w:val="22"/>
                      <w:szCs w:val="22"/>
                    </w:rPr>
                    <w:t>Dis</w:t>
                  </w:r>
                </w:p>
              </w:tc>
              <w:tc>
                <w:tcPr>
                  <w:tcW w:w="992" w:type="dxa"/>
                  <w:tcBorders>
                    <w:top w:val="single" w:sz="6" w:space="0" w:color="auto"/>
                    <w:left w:val="single" w:sz="6" w:space="0" w:color="auto"/>
                    <w:bottom w:val="single" w:sz="6" w:space="0" w:color="auto"/>
                    <w:right w:val="single" w:sz="6" w:space="0" w:color="auto"/>
                  </w:tcBorders>
                  <w:shd w:val="clear" w:color="auto" w:fill="EEECE1" w:themeFill="background2"/>
                  <w:hideMark/>
                </w:tcPr>
                <w:p w14:paraId="7B29F4FA"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b/>
                      <w:bCs/>
                      <w:color w:val="auto"/>
                      <w:sz w:val="22"/>
                      <w:szCs w:val="22"/>
                    </w:rPr>
                    <w:t>Non-</w:t>
                  </w:r>
                  <w:r>
                    <w:rPr>
                      <w:rFonts w:cs="Arial"/>
                      <w:b/>
                      <w:bCs/>
                      <w:color w:val="auto"/>
                      <w:sz w:val="22"/>
                      <w:szCs w:val="22"/>
                    </w:rPr>
                    <w:t>Dis</w:t>
                  </w:r>
                </w:p>
              </w:tc>
              <w:tc>
                <w:tcPr>
                  <w:tcW w:w="1134" w:type="dxa"/>
                  <w:tcBorders>
                    <w:top w:val="single" w:sz="6" w:space="0" w:color="auto"/>
                    <w:left w:val="single" w:sz="6" w:space="0" w:color="auto"/>
                    <w:bottom w:val="single" w:sz="6" w:space="0" w:color="auto"/>
                    <w:right w:val="single" w:sz="6" w:space="0" w:color="auto"/>
                  </w:tcBorders>
                  <w:shd w:val="clear" w:color="auto" w:fill="A8D08D"/>
                  <w:hideMark/>
                </w:tcPr>
                <w:p w14:paraId="13A81D6C"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Pr>
                      <w:rFonts w:cs="Arial"/>
                      <w:b/>
                      <w:bCs/>
                      <w:color w:val="auto"/>
                      <w:sz w:val="22"/>
                      <w:szCs w:val="22"/>
                    </w:rPr>
                    <w:t>Dis</w:t>
                  </w:r>
                </w:p>
              </w:tc>
              <w:tc>
                <w:tcPr>
                  <w:tcW w:w="992" w:type="dxa"/>
                  <w:tcBorders>
                    <w:top w:val="single" w:sz="6" w:space="0" w:color="auto"/>
                    <w:left w:val="single" w:sz="6" w:space="0" w:color="auto"/>
                    <w:bottom w:val="single" w:sz="6" w:space="0" w:color="auto"/>
                    <w:right w:val="single" w:sz="6" w:space="0" w:color="auto"/>
                  </w:tcBorders>
                  <w:shd w:val="clear" w:color="auto" w:fill="A8D08D"/>
                  <w:hideMark/>
                </w:tcPr>
                <w:p w14:paraId="337D82CA"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b/>
                      <w:bCs/>
                      <w:color w:val="auto"/>
                      <w:sz w:val="22"/>
                      <w:szCs w:val="22"/>
                    </w:rPr>
                    <w:t>Non-</w:t>
                  </w:r>
                  <w:r>
                    <w:rPr>
                      <w:rFonts w:cs="Arial"/>
                      <w:b/>
                      <w:bCs/>
                      <w:color w:val="auto"/>
                      <w:sz w:val="22"/>
                      <w:szCs w:val="22"/>
                    </w:rPr>
                    <w:t>Dis</w:t>
                  </w:r>
                  <w:r w:rsidRPr="002F2D9F">
                    <w:rPr>
                      <w:rFonts w:cs="Arial"/>
                      <w:color w:val="auto"/>
                      <w:sz w:val="22"/>
                      <w:szCs w:val="22"/>
                    </w:rPr>
                    <w:t> </w:t>
                  </w:r>
                </w:p>
              </w:tc>
            </w:tr>
            <w:tr w:rsidR="00814FB5" w:rsidRPr="00965E01" w14:paraId="064DBD75" w14:textId="77777777" w:rsidTr="00814FB5">
              <w:tc>
                <w:tcPr>
                  <w:tcW w:w="12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354E318"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Year 6 </w:t>
                  </w:r>
                </w:p>
              </w:tc>
              <w:tc>
                <w:tcPr>
                  <w:tcW w:w="18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A9904AF"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Reading Standard </w:t>
                  </w:r>
                </w:p>
              </w:tc>
              <w:tc>
                <w:tcPr>
                  <w:tcW w:w="863" w:type="dxa"/>
                  <w:tcBorders>
                    <w:top w:val="single" w:sz="6" w:space="0" w:color="auto"/>
                    <w:left w:val="single" w:sz="6" w:space="0" w:color="auto"/>
                    <w:bottom w:val="single" w:sz="6" w:space="0" w:color="auto"/>
                    <w:right w:val="single" w:sz="6" w:space="0" w:color="auto"/>
                  </w:tcBorders>
                  <w:shd w:val="clear" w:color="auto" w:fill="auto"/>
                </w:tcPr>
                <w:p w14:paraId="7B5575E0" w14:textId="15900368" w:rsidR="00814FB5" w:rsidRPr="00965E01" w:rsidRDefault="00B8771F" w:rsidP="00814FB5">
                  <w:pPr>
                    <w:suppressAutoHyphens w:val="0"/>
                    <w:autoSpaceDN/>
                    <w:spacing w:after="0" w:line="240" w:lineRule="auto"/>
                    <w:jc w:val="center"/>
                    <w:textAlignment w:val="baseline"/>
                    <w:rPr>
                      <w:rFonts w:cs="Arial"/>
                      <w:color w:val="auto"/>
                      <w:sz w:val="22"/>
                      <w:szCs w:val="22"/>
                    </w:rPr>
                  </w:pPr>
                  <w:r>
                    <w:rPr>
                      <w:rFonts w:cs="Arial"/>
                      <w:color w:val="auto"/>
                      <w:sz w:val="22"/>
                      <w:szCs w:val="22"/>
                    </w:rPr>
                    <w:t>64%</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8981D72" w14:textId="4C3CB564" w:rsidR="00814FB5" w:rsidRPr="00965E01" w:rsidRDefault="00B8771F" w:rsidP="00814FB5">
                  <w:pPr>
                    <w:suppressAutoHyphens w:val="0"/>
                    <w:autoSpaceDN/>
                    <w:spacing w:after="0" w:line="240" w:lineRule="auto"/>
                    <w:jc w:val="center"/>
                    <w:textAlignment w:val="baseline"/>
                    <w:rPr>
                      <w:rFonts w:cs="Arial"/>
                      <w:color w:val="auto"/>
                      <w:sz w:val="22"/>
                      <w:szCs w:val="22"/>
                    </w:rPr>
                  </w:pPr>
                  <w:r>
                    <w:rPr>
                      <w:rFonts w:cs="Arial"/>
                      <w:color w:val="auto"/>
                      <w:sz w:val="22"/>
                      <w:szCs w:val="22"/>
                    </w:rPr>
                    <w:t>85%</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EAE56B0" w14:textId="168A545C" w:rsidR="00814FB5" w:rsidRPr="00965E01" w:rsidRDefault="00814FB5" w:rsidP="00814FB5">
                  <w:pPr>
                    <w:suppressAutoHyphens w:val="0"/>
                    <w:autoSpaceDN/>
                    <w:spacing w:after="0" w:line="240" w:lineRule="auto"/>
                    <w:jc w:val="center"/>
                    <w:textAlignment w:val="baseline"/>
                    <w:rPr>
                      <w:rFonts w:cs="Arial"/>
                      <w:color w:val="auto"/>
                      <w:sz w:val="22"/>
                      <w:szCs w:val="22"/>
                    </w:rPr>
                  </w:pPr>
                  <w:r>
                    <w:rPr>
                      <w:rFonts w:cs="Arial"/>
                      <w:color w:val="auto"/>
                      <w:sz w:val="22"/>
                      <w:szCs w:val="22"/>
                    </w:rPr>
                    <w:t>43%</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140613A" w14:textId="522E3711" w:rsidR="00814FB5" w:rsidRPr="00965E01" w:rsidRDefault="00814FB5" w:rsidP="00814FB5">
                  <w:pPr>
                    <w:suppressAutoHyphens w:val="0"/>
                    <w:autoSpaceDN/>
                    <w:spacing w:after="0" w:line="240" w:lineRule="auto"/>
                    <w:jc w:val="center"/>
                    <w:textAlignment w:val="baseline"/>
                    <w:rPr>
                      <w:rFonts w:cs="Arial"/>
                      <w:color w:val="auto"/>
                      <w:sz w:val="22"/>
                      <w:szCs w:val="22"/>
                    </w:rPr>
                  </w:pPr>
                  <w:r>
                    <w:rPr>
                      <w:rFonts w:cs="Arial"/>
                      <w:color w:val="auto"/>
                      <w:sz w:val="22"/>
                      <w:szCs w:val="22"/>
                    </w:rPr>
                    <w:t>73%</w:t>
                  </w:r>
                </w:p>
              </w:tc>
              <w:tc>
                <w:tcPr>
                  <w:tcW w:w="1134" w:type="dxa"/>
                  <w:tcBorders>
                    <w:top w:val="single" w:sz="6" w:space="0" w:color="auto"/>
                    <w:left w:val="single" w:sz="6" w:space="0" w:color="auto"/>
                    <w:bottom w:val="single" w:sz="6" w:space="0" w:color="auto"/>
                    <w:right w:val="single" w:sz="6" w:space="0" w:color="auto"/>
                  </w:tcBorders>
                  <w:shd w:val="clear" w:color="auto" w:fill="A8D08D"/>
                  <w:hideMark/>
                </w:tcPr>
                <w:p w14:paraId="3DDEA5E4"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62% </w:t>
                  </w:r>
                </w:p>
              </w:tc>
              <w:tc>
                <w:tcPr>
                  <w:tcW w:w="992" w:type="dxa"/>
                  <w:tcBorders>
                    <w:top w:val="single" w:sz="6" w:space="0" w:color="auto"/>
                    <w:left w:val="single" w:sz="6" w:space="0" w:color="auto"/>
                    <w:bottom w:val="single" w:sz="6" w:space="0" w:color="auto"/>
                    <w:right w:val="single" w:sz="6" w:space="0" w:color="auto"/>
                  </w:tcBorders>
                  <w:shd w:val="clear" w:color="auto" w:fill="A8D08D"/>
                  <w:hideMark/>
                </w:tcPr>
                <w:p w14:paraId="218F0208"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80% </w:t>
                  </w:r>
                </w:p>
              </w:tc>
            </w:tr>
            <w:tr w:rsidR="00814FB5" w:rsidRPr="002F2D9F" w14:paraId="7A44F7BE" w14:textId="77777777" w:rsidTr="0063123A">
              <w:trPr>
                <w:gridAfter w:val="7"/>
                <w:wAfter w:w="6544" w:type="dxa"/>
              </w:trPr>
              <w:tc>
                <w:tcPr>
                  <w:tcW w:w="585" w:type="dxa"/>
                  <w:tcBorders>
                    <w:top w:val="single" w:sz="6" w:space="0" w:color="auto"/>
                    <w:left w:val="nil"/>
                    <w:bottom w:val="single" w:sz="6" w:space="0" w:color="auto"/>
                    <w:right w:val="nil"/>
                  </w:tcBorders>
                  <w:shd w:val="clear" w:color="auto" w:fill="auto"/>
                  <w:hideMark/>
                </w:tcPr>
                <w:p w14:paraId="6F69EF18"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 </w:t>
                  </w:r>
                </w:p>
              </w:tc>
              <w:tc>
                <w:tcPr>
                  <w:tcW w:w="600" w:type="dxa"/>
                  <w:tcBorders>
                    <w:top w:val="single" w:sz="6" w:space="0" w:color="auto"/>
                    <w:left w:val="nil"/>
                    <w:bottom w:val="single" w:sz="6" w:space="0" w:color="auto"/>
                    <w:right w:val="nil"/>
                  </w:tcBorders>
                  <w:shd w:val="clear" w:color="auto" w:fill="auto"/>
                  <w:hideMark/>
                </w:tcPr>
                <w:p w14:paraId="4E065165"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 </w:t>
                  </w:r>
                </w:p>
              </w:tc>
              <w:tc>
                <w:tcPr>
                  <w:tcW w:w="1215" w:type="dxa"/>
                  <w:gridSpan w:val="2"/>
                  <w:tcBorders>
                    <w:top w:val="single" w:sz="6" w:space="0" w:color="auto"/>
                    <w:left w:val="nil"/>
                    <w:bottom w:val="single" w:sz="6" w:space="0" w:color="auto"/>
                    <w:right w:val="nil"/>
                  </w:tcBorders>
                  <w:shd w:val="clear" w:color="auto" w:fill="auto"/>
                  <w:hideMark/>
                </w:tcPr>
                <w:p w14:paraId="636D7C43"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 </w:t>
                  </w:r>
                </w:p>
              </w:tc>
            </w:tr>
            <w:tr w:rsidR="00814FB5" w:rsidRPr="00965E01" w14:paraId="6CE06B01" w14:textId="77777777" w:rsidTr="00814FB5">
              <w:tc>
                <w:tcPr>
                  <w:tcW w:w="12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42E13952"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Year 6 </w:t>
                  </w:r>
                </w:p>
              </w:tc>
              <w:tc>
                <w:tcPr>
                  <w:tcW w:w="18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60DE06"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Writing Standard </w:t>
                  </w:r>
                </w:p>
              </w:tc>
              <w:tc>
                <w:tcPr>
                  <w:tcW w:w="863" w:type="dxa"/>
                  <w:tcBorders>
                    <w:top w:val="single" w:sz="6" w:space="0" w:color="auto"/>
                    <w:left w:val="single" w:sz="6" w:space="0" w:color="auto"/>
                    <w:bottom w:val="single" w:sz="6" w:space="0" w:color="auto"/>
                    <w:right w:val="single" w:sz="6" w:space="0" w:color="auto"/>
                  </w:tcBorders>
                  <w:shd w:val="clear" w:color="auto" w:fill="auto"/>
                </w:tcPr>
                <w:p w14:paraId="003260DA" w14:textId="40C29508" w:rsidR="00814FB5" w:rsidRPr="00965E01" w:rsidRDefault="00B8771F" w:rsidP="00814FB5">
                  <w:pPr>
                    <w:suppressAutoHyphens w:val="0"/>
                    <w:autoSpaceDN/>
                    <w:spacing w:after="0" w:line="240" w:lineRule="auto"/>
                    <w:jc w:val="center"/>
                    <w:textAlignment w:val="baseline"/>
                    <w:rPr>
                      <w:rFonts w:cs="Arial"/>
                      <w:color w:val="auto"/>
                      <w:sz w:val="22"/>
                      <w:szCs w:val="22"/>
                    </w:rPr>
                  </w:pPr>
                  <w:r>
                    <w:rPr>
                      <w:rFonts w:cs="Arial"/>
                      <w:color w:val="auto"/>
                      <w:sz w:val="22"/>
                      <w:szCs w:val="22"/>
                    </w:rPr>
                    <w:t>57%</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7BA486A" w14:textId="39F08FC0" w:rsidR="00814FB5" w:rsidRPr="00965E01" w:rsidRDefault="00B8771F" w:rsidP="00814FB5">
                  <w:pPr>
                    <w:suppressAutoHyphens w:val="0"/>
                    <w:autoSpaceDN/>
                    <w:spacing w:after="0" w:line="240" w:lineRule="auto"/>
                    <w:jc w:val="center"/>
                    <w:textAlignment w:val="baseline"/>
                    <w:rPr>
                      <w:rFonts w:cs="Arial"/>
                      <w:color w:val="auto"/>
                      <w:sz w:val="22"/>
                      <w:szCs w:val="22"/>
                    </w:rPr>
                  </w:pPr>
                  <w:r>
                    <w:rPr>
                      <w:rFonts w:cs="Arial"/>
                      <w:color w:val="auto"/>
                      <w:sz w:val="22"/>
                      <w:szCs w:val="22"/>
                    </w:rPr>
                    <w:t>78%</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078CD59" w14:textId="335D7136" w:rsidR="00814FB5" w:rsidRPr="00965E01" w:rsidRDefault="00814FB5" w:rsidP="00814FB5">
                  <w:pPr>
                    <w:suppressAutoHyphens w:val="0"/>
                    <w:autoSpaceDN/>
                    <w:spacing w:after="0" w:line="240" w:lineRule="auto"/>
                    <w:jc w:val="center"/>
                    <w:textAlignment w:val="baseline"/>
                    <w:rPr>
                      <w:rFonts w:cs="Arial"/>
                      <w:color w:val="auto"/>
                      <w:sz w:val="22"/>
                      <w:szCs w:val="22"/>
                    </w:rPr>
                  </w:pPr>
                  <w:r>
                    <w:rPr>
                      <w:rFonts w:cs="Arial"/>
                      <w:color w:val="auto"/>
                      <w:sz w:val="22"/>
                      <w:szCs w:val="22"/>
                    </w:rPr>
                    <w:t>57%</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56A9218" w14:textId="40B22604" w:rsidR="00814FB5" w:rsidRPr="00965E01" w:rsidRDefault="00814FB5" w:rsidP="00814FB5">
                  <w:pPr>
                    <w:suppressAutoHyphens w:val="0"/>
                    <w:autoSpaceDN/>
                    <w:spacing w:after="0" w:line="240" w:lineRule="auto"/>
                    <w:jc w:val="center"/>
                    <w:textAlignment w:val="baseline"/>
                    <w:rPr>
                      <w:rFonts w:cs="Arial"/>
                      <w:color w:val="auto"/>
                      <w:sz w:val="22"/>
                      <w:szCs w:val="22"/>
                    </w:rPr>
                  </w:pPr>
                  <w:r>
                    <w:rPr>
                      <w:rFonts w:cs="Arial"/>
                      <w:color w:val="auto"/>
                      <w:sz w:val="22"/>
                      <w:szCs w:val="22"/>
                    </w:rPr>
                    <w:t>70%</w:t>
                  </w:r>
                </w:p>
              </w:tc>
              <w:tc>
                <w:tcPr>
                  <w:tcW w:w="1134" w:type="dxa"/>
                  <w:tcBorders>
                    <w:top w:val="single" w:sz="6" w:space="0" w:color="auto"/>
                    <w:left w:val="single" w:sz="6" w:space="0" w:color="auto"/>
                    <w:bottom w:val="single" w:sz="6" w:space="0" w:color="auto"/>
                    <w:right w:val="single" w:sz="6" w:space="0" w:color="auto"/>
                  </w:tcBorders>
                  <w:shd w:val="clear" w:color="auto" w:fill="A8D08D"/>
                  <w:hideMark/>
                </w:tcPr>
                <w:p w14:paraId="0473767E"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55% </w:t>
                  </w:r>
                </w:p>
              </w:tc>
              <w:tc>
                <w:tcPr>
                  <w:tcW w:w="992" w:type="dxa"/>
                  <w:tcBorders>
                    <w:top w:val="single" w:sz="6" w:space="0" w:color="auto"/>
                    <w:left w:val="single" w:sz="6" w:space="0" w:color="auto"/>
                    <w:bottom w:val="single" w:sz="6" w:space="0" w:color="auto"/>
                    <w:right w:val="single" w:sz="6" w:space="0" w:color="auto"/>
                  </w:tcBorders>
                  <w:shd w:val="clear" w:color="auto" w:fill="A8D08D"/>
                  <w:hideMark/>
                </w:tcPr>
                <w:p w14:paraId="5C957618"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75% </w:t>
                  </w:r>
                </w:p>
              </w:tc>
            </w:tr>
            <w:tr w:rsidR="00814FB5" w:rsidRPr="002F2D9F" w14:paraId="1751DF77" w14:textId="77777777" w:rsidTr="0063123A">
              <w:trPr>
                <w:gridAfter w:val="7"/>
                <w:wAfter w:w="6544" w:type="dxa"/>
              </w:trPr>
              <w:tc>
                <w:tcPr>
                  <w:tcW w:w="585" w:type="dxa"/>
                  <w:tcBorders>
                    <w:top w:val="single" w:sz="6" w:space="0" w:color="auto"/>
                    <w:left w:val="nil"/>
                    <w:bottom w:val="single" w:sz="6" w:space="0" w:color="auto"/>
                    <w:right w:val="nil"/>
                  </w:tcBorders>
                  <w:shd w:val="clear" w:color="auto" w:fill="auto"/>
                  <w:hideMark/>
                </w:tcPr>
                <w:p w14:paraId="787601F7"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 </w:t>
                  </w:r>
                </w:p>
              </w:tc>
              <w:tc>
                <w:tcPr>
                  <w:tcW w:w="600" w:type="dxa"/>
                  <w:tcBorders>
                    <w:top w:val="single" w:sz="6" w:space="0" w:color="auto"/>
                    <w:left w:val="nil"/>
                    <w:bottom w:val="single" w:sz="6" w:space="0" w:color="auto"/>
                    <w:right w:val="nil"/>
                  </w:tcBorders>
                  <w:shd w:val="clear" w:color="auto" w:fill="auto"/>
                  <w:hideMark/>
                </w:tcPr>
                <w:p w14:paraId="623663A1"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 </w:t>
                  </w:r>
                </w:p>
              </w:tc>
              <w:tc>
                <w:tcPr>
                  <w:tcW w:w="1215" w:type="dxa"/>
                  <w:gridSpan w:val="2"/>
                  <w:tcBorders>
                    <w:top w:val="single" w:sz="6" w:space="0" w:color="auto"/>
                    <w:left w:val="nil"/>
                    <w:bottom w:val="single" w:sz="6" w:space="0" w:color="auto"/>
                    <w:right w:val="nil"/>
                  </w:tcBorders>
                  <w:shd w:val="clear" w:color="auto" w:fill="auto"/>
                  <w:hideMark/>
                </w:tcPr>
                <w:p w14:paraId="5B98FDEA"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 </w:t>
                  </w:r>
                </w:p>
              </w:tc>
            </w:tr>
            <w:tr w:rsidR="00814FB5" w:rsidRPr="00DC09AB" w14:paraId="14D4CDB7" w14:textId="77777777" w:rsidTr="00814FB5">
              <w:tc>
                <w:tcPr>
                  <w:tcW w:w="12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AF68976"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Year 6 </w:t>
                  </w:r>
                </w:p>
              </w:tc>
              <w:tc>
                <w:tcPr>
                  <w:tcW w:w="18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04344F"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GAPS Standard </w:t>
                  </w:r>
                </w:p>
              </w:tc>
              <w:tc>
                <w:tcPr>
                  <w:tcW w:w="863" w:type="dxa"/>
                  <w:tcBorders>
                    <w:top w:val="single" w:sz="6" w:space="0" w:color="auto"/>
                    <w:left w:val="single" w:sz="6" w:space="0" w:color="auto"/>
                    <w:bottom w:val="single" w:sz="6" w:space="0" w:color="auto"/>
                    <w:right w:val="single" w:sz="6" w:space="0" w:color="auto"/>
                  </w:tcBorders>
                  <w:shd w:val="clear" w:color="auto" w:fill="auto"/>
                </w:tcPr>
                <w:p w14:paraId="7F577644" w14:textId="3FBCA3EB" w:rsidR="00814FB5" w:rsidRPr="00965E01" w:rsidRDefault="00B8771F" w:rsidP="00814FB5">
                  <w:pPr>
                    <w:suppressAutoHyphens w:val="0"/>
                    <w:autoSpaceDN/>
                    <w:spacing w:after="0" w:line="240" w:lineRule="auto"/>
                    <w:jc w:val="center"/>
                    <w:textAlignment w:val="baseline"/>
                    <w:rPr>
                      <w:rFonts w:cs="Arial"/>
                      <w:color w:val="auto"/>
                      <w:sz w:val="22"/>
                      <w:szCs w:val="22"/>
                    </w:rPr>
                  </w:pPr>
                  <w:r>
                    <w:rPr>
                      <w:rFonts w:cs="Arial"/>
                      <w:color w:val="auto"/>
                      <w:sz w:val="22"/>
                      <w:szCs w:val="22"/>
                    </w:rPr>
                    <w:t>71%</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960F80D" w14:textId="4C9791A5" w:rsidR="00814FB5" w:rsidRPr="00965E01" w:rsidRDefault="00B8771F" w:rsidP="00814FB5">
                  <w:pPr>
                    <w:suppressAutoHyphens w:val="0"/>
                    <w:autoSpaceDN/>
                    <w:spacing w:after="0" w:line="240" w:lineRule="auto"/>
                    <w:jc w:val="center"/>
                    <w:textAlignment w:val="baseline"/>
                    <w:rPr>
                      <w:rFonts w:cs="Arial"/>
                      <w:color w:val="auto"/>
                      <w:sz w:val="22"/>
                      <w:szCs w:val="22"/>
                    </w:rPr>
                  </w:pPr>
                  <w:r>
                    <w:rPr>
                      <w:rFonts w:cs="Arial"/>
                      <w:color w:val="auto"/>
                      <w:sz w:val="22"/>
                      <w:szCs w:val="22"/>
                    </w:rPr>
                    <w:t>74%</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818F38B" w14:textId="684C836E" w:rsidR="00814FB5" w:rsidRPr="00965E01" w:rsidRDefault="00814FB5" w:rsidP="00814FB5">
                  <w:pPr>
                    <w:suppressAutoHyphens w:val="0"/>
                    <w:autoSpaceDN/>
                    <w:spacing w:after="0" w:line="240" w:lineRule="auto"/>
                    <w:jc w:val="center"/>
                    <w:textAlignment w:val="baseline"/>
                    <w:rPr>
                      <w:rFonts w:cs="Arial"/>
                      <w:color w:val="auto"/>
                      <w:sz w:val="22"/>
                      <w:szCs w:val="22"/>
                    </w:rPr>
                  </w:pPr>
                  <w:r>
                    <w:rPr>
                      <w:rFonts w:cs="Arial"/>
                      <w:color w:val="auto"/>
                      <w:sz w:val="22"/>
                      <w:szCs w:val="22"/>
                    </w:rPr>
                    <w:t>57%</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044201E" w14:textId="29A39B01" w:rsidR="00814FB5" w:rsidRPr="00965E01" w:rsidRDefault="00814FB5" w:rsidP="00814FB5">
                  <w:pPr>
                    <w:suppressAutoHyphens w:val="0"/>
                    <w:autoSpaceDN/>
                    <w:spacing w:after="0" w:line="240" w:lineRule="auto"/>
                    <w:jc w:val="center"/>
                    <w:textAlignment w:val="baseline"/>
                    <w:rPr>
                      <w:rFonts w:cs="Arial"/>
                      <w:color w:val="auto"/>
                      <w:sz w:val="22"/>
                      <w:szCs w:val="22"/>
                    </w:rPr>
                  </w:pPr>
                  <w:r>
                    <w:rPr>
                      <w:rFonts w:cs="Arial"/>
                      <w:color w:val="auto"/>
                      <w:sz w:val="22"/>
                      <w:szCs w:val="22"/>
                    </w:rPr>
                    <w:t>75%</w:t>
                  </w:r>
                </w:p>
              </w:tc>
              <w:tc>
                <w:tcPr>
                  <w:tcW w:w="1134" w:type="dxa"/>
                  <w:tcBorders>
                    <w:top w:val="single" w:sz="6" w:space="0" w:color="auto"/>
                    <w:left w:val="single" w:sz="6" w:space="0" w:color="auto"/>
                    <w:bottom w:val="single" w:sz="6" w:space="0" w:color="auto"/>
                    <w:right w:val="single" w:sz="6" w:space="0" w:color="auto"/>
                  </w:tcBorders>
                  <w:shd w:val="clear" w:color="auto" w:fill="A8D08D"/>
                  <w:hideMark/>
                </w:tcPr>
                <w:p w14:paraId="00910C39"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67%</w:t>
                  </w:r>
                </w:p>
              </w:tc>
              <w:tc>
                <w:tcPr>
                  <w:tcW w:w="992" w:type="dxa"/>
                  <w:tcBorders>
                    <w:top w:val="single" w:sz="6" w:space="0" w:color="auto"/>
                    <w:left w:val="single" w:sz="6" w:space="0" w:color="auto"/>
                    <w:bottom w:val="single" w:sz="6" w:space="0" w:color="auto"/>
                    <w:right w:val="single" w:sz="6" w:space="0" w:color="auto"/>
                  </w:tcBorders>
                  <w:shd w:val="clear" w:color="auto" w:fill="A8D08D"/>
                  <w:hideMark/>
                </w:tcPr>
                <w:p w14:paraId="578E9AC8"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87%</w:t>
                  </w:r>
                </w:p>
              </w:tc>
            </w:tr>
            <w:tr w:rsidR="00814FB5" w:rsidRPr="002F2D9F" w14:paraId="1C5B3CCB" w14:textId="77777777" w:rsidTr="0063123A">
              <w:trPr>
                <w:gridAfter w:val="7"/>
                <w:wAfter w:w="6544" w:type="dxa"/>
              </w:trPr>
              <w:tc>
                <w:tcPr>
                  <w:tcW w:w="585" w:type="dxa"/>
                  <w:tcBorders>
                    <w:top w:val="single" w:sz="6" w:space="0" w:color="auto"/>
                    <w:left w:val="nil"/>
                    <w:bottom w:val="single" w:sz="6" w:space="0" w:color="auto"/>
                    <w:right w:val="nil"/>
                  </w:tcBorders>
                  <w:shd w:val="clear" w:color="auto" w:fill="auto"/>
                  <w:hideMark/>
                </w:tcPr>
                <w:p w14:paraId="42E4A95E"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 </w:t>
                  </w:r>
                </w:p>
              </w:tc>
              <w:tc>
                <w:tcPr>
                  <w:tcW w:w="600" w:type="dxa"/>
                  <w:tcBorders>
                    <w:top w:val="single" w:sz="6" w:space="0" w:color="auto"/>
                    <w:left w:val="nil"/>
                    <w:bottom w:val="single" w:sz="6" w:space="0" w:color="auto"/>
                    <w:right w:val="nil"/>
                  </w:tcBorders>
                  <w:shd w:val="clear" w:color="auto" w:fill="auto"/>
                  <w:hideMark/>
                </w:tcPr>
                <w:p w14:paraId="5942445A"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 </w:t>
                  </w:r>
                </w:p>
              </w:tc>
              <w:tc>
                <w:tcPr>
                  <w:tcW w:w="1215" w:type="dxa"/>
                  <w:gridSpan w:val="2"/>
                  <w:tcBorders>
                    <w:top w:val="single" w:sz="6" w:space="0" w:color="auto"/>
                    <w:left w:val="nil"/>
                    <w:bottom w:val="single" w:sz="6" w:space="0" w:color="auto"/>
                    <w:right w:val="nil"/>
                  </w:tcBorders>
                  <w:shd w:val="clear" w:color="auto" w:fill="auto"/>
                  <w:hideMark/>
                </w:tcPr>
                <w:p w14:paraId="5E451C4A"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 </w:t>
                  </w:r>
                </w:p>
              </w:tc>
            </w:tr>
            <w:tr w:rsidR="00814FB5" w:rsidRPr="00965E01" w14:paraId="6277A26B" w14:textId="77777777" w:rsidTr="00814FB5">
              <w:tc>
                <w:tcPr>
                  <w:tcW w:w="12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337FF86"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Year 6 </w:t>
                  </w:r>
                </w:p>
              </w:tc>
              <w:tc>
                <w:tcPr>
                  <w:tcW w:w="18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52B855"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Maths Standard </w:t>
                  </w:r>
                </w:p>
              </w:tc>
              <w:tc>
                <w:tcPr>
                  <w:tcW w:w="863" w:type="dxa"/>
                  <w:tcBorders>
                    <w:top w:val="single" w:sz="6" w:space="0" w:color="auto"/>
                    <w:left w:val="single" w:sz="6" w:space="0" w:color="auto"/>
                    <w:bottom w:val="single" w:sz="6" w:space="0" w:color="auto"/>
                    <w:right w:val="single" w:sz="6" w:space="0" w:color="auto"/>
                  </w:tcBorders>
                  <w:shd w:val="clear" w:color="auto" w:fill="auto"/>
                </w:tcPr>
                <w:p w14:paraId="6E766A12" w14:textId="1B1502D1" w:rsidR="00814FB5" w:rsidRPr="00965E01" w:rsidRDefault="00B8771F" w:rsidP="00814FB5">
                  <w:pPr>
                    <w:suppressAutoHyphens w:val="0"/>
                    <w:autoSpaceDN/>
                    <w:spacing w:after="0" w:line="240" w:lineRule="auto"/>
                    <w:jc w:val="center"/>
                    <w:textAlignment w:val="baseline"/>
                    <w:rPr>
                      <w:rFonts w:cs="Arial"/>
                      <w:color w:val="auto"/>
                      <w:sz w:val="22"/>
                      <w:szCs w:val="22"/>
                    </w:rPr>
                  </w:pPr>
                  <w:r>
                    <w:rPr>
                      <w:rFonts w:cs="Arial"/>
                      <w:color w:val="auto"/>
                      <w:sz w:val="22"/>
                      <w:szCs w:val="22"/>
                    </w:rPr>
                    <w:t>71%</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FD02288" w14:textId="313D26AD" w:rsidR="00814FB5" w:rsidRPr="00965E01" w:rsidRDefault="00B8771F" w:rsidP="00814FB5">
                  <w:pPr>
                    <w:suppressAutoHyphens w:val="0"/>
                    <w:autoSpaceDN/>
                    <w:spacing w:after="0" w:line="240" w:lineRule="auto"/>
                    <w:jc w:val="center"/>
                    <w:textAlignment w:val="baseline"/>
                    <w:rPr>
                      <w:rFonts w:cs="Arial"/>
                      <w:color w:val="auto"/>
                      <w:sz w:val="22"/>
                      <w:szCs w:val="22"/>
                    </w:rPr>
                  </w:pPr>
                  <w:r>
                    <w:rPr>
                      <w:rFonts w:cs="Arial"/>
                      <w:color w:val="auto"/>
                      <w:sz w:val="22"/>
                      <w:szCs w:val="22"/>
                    </w:rPr>
                    <w:t>73%</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EC9AE1E" w14:textId="52A8084F" w:rsidR="00814FB5" w:rsidRPr="00965E01" w:rsidRDefault="00814FB5" w:rsidP="00814FB5">
                  <w:pPr>
                    <w:suppressAutoHyphens w:val="0"/>
                    <w:autoSpaceDN/>
                    <w:spacing w:after="0" w:line="240" w:lineRule="auto"/>
                    <w:jc w:val="center"/>
                    <w:textAlignment w:val="baseline"/>
                    <w:rPr>
                      <w:rFonts w:cs="Arial"/>
                      <w:color w:val="auto"/>
                      <w:sz w:val="22"/>
                      <w:szCs w:val="22"/>
                    </w:rPr>
                  </w:pPr>
                  <w:r>
                    <w:rPr>
                      <w:rFonts w:cs="Arial"/>
                      <w:color w:val="auto"/>
                      <w:sz w:val="22"/>
                      <w:szCs w:val="22"/>
                    </w:rPr>
                    <w:t>71%</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A29B8A0" w14:textId="54046FB8" w:rsidR="00814FB5" w:rsidRPr="00965E01" w:rsidRDefault="00814FB5" w:rsidP="00814FB5">
                  <w:pPr>
                    <w:suppressAutoHyphens w:val="0"/>
                    <w:autoSpaceDN/>
                    <w:spacing w:after="0" w:line="240" w:lineRule="auto"/>
                    <w:jc w:val="center"/>
                    <w:textAlignment w:val="baseline"/>
                    <w:rPr>
                      <w:rFonts w:cs="Arial"/>
                      <w:color w:val="auto"/>
                      <w:sz w:val="22"/>
                      <w:szCs w:val="22"/>
                    </w:rPr>
                  </w:pPr>
                  <w:r>
                    <w:rPr>
                      <w:rFonts w:cs="Arial"/>
                      <w:color w:val="auto"/>
                      <w:sz w:val="22"/>
                      <w:szCs w:val="22"/>
                    </w:rPr>
                    <w:t>78%</w:t>
                  </w:r>
                </w:p>
              </w:tc>
              <w:tc>
                <w:tcPr>
                  <w:tcW w:w="1134" w:type="dxa"/>
                  <w:tcBorders>
                    <w:top w:val="single" w:sz="6" w:space="0" w:color="auto"/>
                    <w:left w:val="single" w:sz="6" w:space="0" w:color="auto"/>
                    <w:bottom w:val="single" w:sz="6" w:space="0" w:color="auto"/>
                    <w:right w:val="single" w:sz="6" w:space="0" w:color="auto"/>
                  </w:tcBorders>
                  <w:shd w:val="clear" w:color="auto" w:fill="A8D08D"/>
                  <w:hideMark/>
                </w:tcPr>
                <w:p w14:paraId="4D9C9230"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56% </w:t>
                  </w:r>
                </w:p>
              </w:tc>
              <w:tc>
                <w:tcPr>
                  <w:tcW w:w="992" w:type="dxa"/>
                  <w:tcBorders>
                    <w:top w:val="single" w:sz="6" w:space="0" w:color="auto"/>
                    <w:left w:val="single" w:sz="6" w:space="0" w:color="auto"/>
                    <w:bottom w:val="single" w:sz="6" w:space="0" w:color="auto"/>
                    <w:right w:val="single" w:sz="6" w:space="0" w:color="auto"/>
                  </w:tcBorders>
                  <w:shd w:val="clear" w:color="auto" w:fill="A8D08D"/>
                  <w:hideMark/>
                </w:tcPr>
                <w:p w14:paraId="0AA120E5"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78% </w:t>
                  </w:r>
                </w:p>
              </w:tc>
            </w:tr>
            <w:tr w:rsidR="00814FB5" w:rsidRPr="002F2D9F" w14:paraId="53494E3C" w14:textId="77777777" w:rsidTr="0063123A">
              <w:trPr>
                <w:gridAfter w:val="7"/>
                <w:wAfter w:w="6544" w:type="dxa"/>
              </w:trPr>
              <w:tc>
                <w:tcPr>
                  <w:tcW w:w="585" w:type="dxa"/>
                  <w:tcBorders>
                    <w:top w:val="single" w:sz="6" w:space="0" w:color="auto"/>
                    <w:left w:val="nil"/>
                    <w:bottom w:val="single" w:sz="6" w:space="0" w:color="auto"/>
                    <w:right w:val="nil"/>
                  </w:tcBorders>
                  <w:shd w:val="clear" w:color="auto" w:fill="auto"/>
                  <w:hideMark/>
                </w:tcPr>
                <w:p w14:paraId="229EC9AD"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 </w:t>
                  </w:r>
                </w:p>
              </w:tc>
              <w:tc>
                <w:tcPr>
                  <w:tcW w:w="600" w:type="dxa"/>
                  <w:tcBorders>
                    <w:top w:val="single" w:sz="6" w:space="0" w:color="auto"/>
                    <w:left w:val="nil"/>
                    <w:bottom w:val="single" w:sz="6" w:space="0" w:color="auto"/>
                    <w:right w:val="nil"/>
                  </w:tcBorders>
                  <w:shd w:val="clear" w:color="auto" w:fill="auto"/>
                  <w:hideMark/>
                </w:tcPr>
                <w:p w14:paraId="40ABAD6A"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 </w:t>
                  </w:r>
                </w:p>
              </w:tc>
              <w:tc>
                <w:tcPr>
                  <w:tcW w:w="1215" w:type="dxa"/>
                  <w:gridSpan w:val="2"/>
                  <w:tcBorders>
                    <w:top w:val="single" w:sz="6" w:space="0" w:color="auto"/>
                    <w:left w:val="nil"/>
                    <w:bottom w:val="single" w:sz="6" w:space="0" w:color="auto"/>
                    <w:right w:val="nil"/>
                  </w:tcBorders>
                  <w:shd w:val="clear" w:color="auto" w:fill="auto"/>
                  <w:hideMark/>
                </w:tcPr>
                <w:p w14:paraId="1528A4DC"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 </w:t>
                  </w:r>
                </w:p>
              </w:tc>
            </w:tr>
            <w:tr w:rsidR="00814FB5" w:rsidRPr="00965E01" w14:paraId="0E68FF9D" w14:textId="77777777" w:rsidTr="00814FB5">
              <w:tc>
                <w:tcPr>
                  <w:tcW w:w="12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E4B241F"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Year 6 </w:t>
                  </w:r>
                </w:p>
              </w:tc>
              <w:tc>
                <w:tcPr>
                  <w:tcW w:w="18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3B5884F"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Combined  </w:t>
                  </w:r>
                </w:p>
              </w:tc>
              <w:tc>
                <w:tcPr>
                  <w:tcW w:w="863" w:type="dxa"/>
                  <w:tcBorders>
                    <w:top w:val="single" w:sz="6" w:space="0" w:color="auto"/>
                    <w:left w:val="single" w:sz="6" w:space="0" w:color="auto"/>
                    <w:bottom w:val="single" w:sz="6" w:space="0" w:color="auto"/>
                    <w:right w:val="single" w:sz="6" w:space="0" w:color="auto"/>
                  </w:tcBorders>
                  <w:shd w:val="clear" w:color="auto" w:fill="auto"/>
                </w:tcPr>
                <w:p w14:paraId="463B30BD" w14:textId="4468F043" w:rsidR="00814FB5" w:rsidRPr="00965E01" w:rsidRDefault="00814FB5" w:rsidP="00814FB5">
                  <w:pPr>
                    <w:suppressAutoHyphens w:val="0"/>
                    <w:autoSpaceDN/>
                    <w:spacing w:after="0" w:line="240" w:lineRule="auto"/>
                    <w:jc w:val="center"/>
                    <w:textAlignment w:val="baseline"/>
                    <w:rPr>
                      <w:rFonts w:cs="Arial"/>
                      <w:color w:val="auto"/>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7C9AE08" w14:textId="62BE950D" w:rsidR="00814FB5" w:rsidRPr="00965E01" w:rsidRDefault="00814FB5" w:rsidP="00814FB5">
                  <w:pPr>
                    <w:suppressAutoHyphens w:val="0"/>
                    <w:autoSpaceDN/>
                    <w:spacing w:after="0" w:line="240" w:lineRule="auto"/>
                    <w:jc w:val="center"/>
                    <w:textAlignment w:val="baseline"/>
                    <w:rPr>
                      <w:rFonts w:cs="Arial"/>
                      <w:color w:val="auto"/>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F264DE9" w14:textId="7B36DABF" w:rsidR="00814FB5" w:rsidRPr="00965E01" w:rsidRDefault="00814FB5" w:rsidP="00814FB5">
                  <w:pPr>
                    <w:suppressAutoHyphens w:val="0"/>
                    <w:autoSpaceDN/>
                    <w:spacing w:after="0" w:line="240" w:lineRule="auto"/>
                    <w:jc w:val="center"/>
                    <w:textAlignment w:val="baseline"/>
                    <w:rPr>
                      <w:rFonts w:cs="Arial"/>
                      <w:color w:val="auto"/>
                      <w:sz w:val="22"/>
                      <w:szCs w:val="22"/>
                    </w:rPr>
                  </w:pPr>
                  <w:r>
                    <w:rPr>
                      <w:rFonts w:cs="Arial"/>
                      <w:color w:val="auto"/>
                      <w:sz w:val="22"/>
                      <w:szCs w:val="22"/>
                    </w:rPr>
                    <w:t>43%</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B87B7CA" w14:textId="2847393C" w:rsidR="00814FB5" w:rsidRPr="00965E01" w:rsidRDefault="00814FB5" w:rsidP="00814FB5">
                  <w:pPr>
                    <w:suppressAutoHyphens w:val="0"/>
                    <w:autoSpaceDN/>
                    <w:spacing w:after="0" w:line="240" w:lineRule="auto"/>
                    <w:jc w:val="center"/>
                    <w:textAlignment w:val="baseline"/>
                    <w:rPr>
                      <w:rFonts w:cs="Arial"/>
                      <w:color w:val="auto"/>
                      <w:sz w:val="22"/>
                      <w:szCs w:val="22"/>
                    </w:rPr>
                  </w:pPr>
                  <w:r>
                    <w:rPr>
                      <w:rFonts w:cs="Arial"/>
                      <w:color w:val="auto"/>
                      <w:sz w:val="22"/>
                      <w:szCs w:val="22"/>
                    </w:rPr>
                    <w:t>60%</w:t>
                  </w:r>
                </w:p>
              </w:tc>
              <w:tc>
                <w:tcPr>
                  <w:tcW w:w="1134" w:type="dxa"/>
                  <w:tcBorders>
                    <w:top w:val="single" w:sz="6" w:space="0" w:color="auto"/>
                    <w:left w:val="single" w:sz="6" w:space="0" w:color="auto"/>
                    <w:bottom w:val="single" w:sz="6" w:space="0" w:color="auto"/>
                    <w:right w:val="single" w:sz="6" w:space="0" w:color="auto"/>
                  </w:tcBorders>
                  <w:shd w:val="clear" w:color="auto" w:fill="A8D08D"/>
                  <w:hideMark/>
                </w:tcPr>
                <w:p w14:paraId="60A2998C"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43% </w:t>
                  </w:r>
                </w:p>
              </w:tc>
              <w:tc>
                <w:tcPr>
                  <w:tcW w:w="992" w:type="dxa"/>
                  <w:tcBorders>
                    <w:top w:val="single" w:sz="6" w:space="0" w:color="auto"/>
                    <w:left w:val="single" w:sz="6" w:space="0" w:color="auto"/>
                    <w:bottom w:val="single" w:sz="6" w:space="0" w:color="auto"/>
                    <w:right w:val="single" w:sz="6" w:space="0" w:color="auto"/>
                  </w:tcBorders>
                  <w:shd w:val="clear" w:color="auto" w:fill="A8D08D"/>
                  <w:hideMark/>
                </w:tcPr>
                <w:p w14:paraId="58E96F8B" w14:textId="77777777" w:rsidR="00814FB5" w:rsidRPr="00965E01" w:rsidRDefault="00814FB5" w:rsidP="00814FB5">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65% </w:t>
                  </w:r>
                </w:p>
              </w:tc>
            </w:tr>
          </w:tbl>
          <w:p w14:paraId="46F7869C" w14:textId="77777777" w:rsidR="007F30F5" w:rsidRPr="007F30F5" w:rsidRDefault="007F30F5" w:rsidP="007F30F5"/>
          <w:p w14:paraId="7BECD38F" w14:textId="75118D47" w:rsidR="007F30F5" w:rsidRPr="00A015A0" w:rsidRDefault="002C60C4" w:rsidP="007F30F5">
            <w:pPr>
              <w:autoSpaceDN/>
              <w:spacing w:before="120"/>
              <w:rPr>
                <w:color w:val="auto"/>
                <w:sz w:val="22"/>
                <w:lang w:eastAsia="en-US"/>
              </w:rPr>
            </w:pPr>
            <w:r w:rsidRPr="00A015A0">
              <w:rPr>
                <w:color w:val="auto"/>
                <w:sz w:val="22"/>
                <w:lang w:eastAsia="en-US"/>
              </w:rPr>
              <w:t xml:space="preserve">Outcomes from the KS2 assessments show that from the 2022 data, our disadvantaged </w:t>
            </w:r>
            <w:r w:rsidR="00026F52" w:rsidRPr="00A015A0">
              <w:rPr>
                <w:color w:val="auto"/>
                <w:sz w:val="22"/>
                <w:lang w:eastAsia="en-US"/>
              </w:rPr>
              <w:t xml:space="preserve">data </w:t>
            </w:r>
            <w:r w:rsidR="00365F64" w:rsidRPr="00A015A0">
              <w:rPr>
                <w:color w:val="auto"/>
                <w:sz w:val="22"/>
                <w:lang w:eastAsia="en-US"/>
              </w:rPr>
              <w:t>for Maths and writing was above the national average for 2022, with reading and GAPS data for our disadvantaged pupils being behin</w:t>
            </w:r>
            <w:r w:rsidR="001B263C" w:rsidRPr="00A015A0">
              <w:rPr>
                <w:color w:val="auto"/>
                <w:sz w:val="22"/>
                <w:lang w:eastAsia="en-US"/>
              </w:rPr>
              <w:t xml:space="preserve">d those compared to the national disadvantage. In comparison to the national disadvantage data, our Pupil Premium pupils were in line. </w:t>
            </w:r>
            <w:r w:rsidR="00B8771F" w:rsidRPr="00A015A0">
              <w:rPr>
                <w:color w:val="auto"/>
                <w:sz w:val="22"/>
                <w:lang w:eastAsia="en-US"/>
              </w:rPr>
              <w:t>In comparison to 2019 data, it is evident that the consistency of attainment in Maths and Writing has remained the same in 2022. Reading and GAPS attainment of our PP pupils has declined and is therefore included as a priority on our strategy</w:t>
            </w:r>
            <w:r w:rsidR="000A2698" w:rsidRPr="00A015A0">
              <w:rPr>
                <w:color w:val="auto"/>
                <w:sz w:val="22"/>
                <w:lang w:eastAsia="en-US"/>
              </w:rPr>
              <w:t xml:space="preserve"> and our SDP</w:t>
            </w:r>
            <w:r w:rsidR="00B8771F" w:rsidRPr="00A015A0">
              <w:rPr>
                <w:color w:val="auto"/>
                <w:sz w:val="22"/>
                <w:lang w:eastAsia="en-US"/>
              </w:rPr>
              <w:t xml:space="preserve"> (Reading &amp; Writing) in order for the gap to narrow between the disadvantaged and non-disadvantaged. </w:t>
            </w:r>
          </w:p>
          <w:p w14:paraId="077FF887" w14:textId="77777777" w:rsidR="00A015A0" w:rsidRPr="006421B3" w:rsidRDefault="00A015A0" w:rsidP="00A015A0">
            <w:pPr>
              <w:suppressAutoHyphens w:val="0"/>
              <w:autoSpaceDN/>
              <w:spacing w:before="120"/>
              <w:rPr>
                <w:color w:val="auto"/>
                <w:sz w:val="22"/>
                <w:lang w:eastAsia="en-US"/>
              </w:rPr>
            </w:pPr>
            <w:r w:rsidRPr="006421B3">
              <w:rPr>
                <w:color w:val="auto"/>
                <w:sz w:val="22"/>
                <w:lang w:eastAsia="en-US"/>
              </w:rPr>
              <w:t xml:space="preserve">Our assessment of the reasons for these outcomes points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high-quality curriculum, including during periods of partial closure, which was aided by use of online resources such as those provided by Oak National Academy and accompanied by our remote learning offer at Oakley Vale. </w:t>
            </w:r>
          </w:p>
          <w:p w14:paraId="24159D74" w14:textId="6C21C076" w:rsidR="0063123A" w:rsidRDefault="0063123A" w:rsidP="0063123A">
            <w:pPr>
              <w:pStyle w:val="Heading2"/>
              <w:rPr>
                <w:color w:val="17365D" w:themeColor="text2" w:themeShade="BF"/>
                <w:sz w:val="24"/>
                <w:szCs w:val="24"/>
              </w:rPr>
            </w:pPr>
            <w:r w:rsidRPr="00BB0CB8">
              <w:rPr>
                <w:color w:val="17365D" w:themeColor="text2" w:themeShade="BF"/>
                <w:sz w:val="24"/>
                <w:szCs w:val="24"/>
              </w:rPr>
              <w:t>KS</w:t>
            </w:r>
            <w:r w:rsidR="00AD677C">
              <w:rPr>
                <w:color w:val="17365D" w:themeColor="text2" w:themeShade="BF"/>
                <w:sz w:val="24"/>
                <w:szCs w:val="24"/>
              </w:rPr>
              <w:t>1</w:t>
            </w:r>
            <w:r w:rsidRPr="00BB0CB8">
              <w:rPr>
                <w:color w:val="17365D" w:themeColor="text2" w:themeShade="BF"/>
                <w:sz w:val="24"/>
                <w:szCs w:val="24"/>
              </w:rPr>
              <w:t xml:space="preserve"> Disadvantaged pupil verses Non-</w:t>
            </w:r>
            <w:r>
              <w:rPr>
                <w:color w:val="17365D" w:themeColor="text2" w:themeShade="BF"/>
                <w:sz w:val="24"/>
                <w:szCs w:val="24"/>
              </w:rPr>
              <w:t>D</w:t>
            </w:r>
            <w:r w:rsidRPr="00BB0CB8">
              <w:rPr>
                <w:color w:val="17365D" w:themeColor="text2" w:themeShade="BF"/>
                <w:sz w:val="24"/>
                <w:szCs w:val="24"/>
              </w:rPr>
              <w:t>isadvantaged results for academic year</w:t>
            </w:r>
            <w:r>
              <w:rPr>
                <w:color w:val="17365D" w:themeColor="text2" w:themeShade="BF"/>
                <w:sz w:val="24"/>
                <w:szCs w:val="24"/>
              </w:rPr>
              <w:t>s</w:t>
            </w:r>
            <w:r w:rsidRPr="00BB0CB8">
              <w:rPr>
                <w:color w:val="17365D" w:themeColor="text2" w:themeShade="BF"/>
                <w:sz w:val="24"/>
                <w:szCs w:val="24"/>
              </w:rPr>
              <w:t xml:space="preserve"> </w:t>
            </w:r>
            <w:r>
              <w:rPr>
                <w:color w:val="17365D" w:themeColor="text2" w:themeShade="BF"/>
                <w:sz w:val="24"/>
                <w:szCs w:val="24"/>
              </w:rPr>
              <w:t xml:space="preserve">2019 to </w:t>
            </w:r>
            <w:r w:rsidRPr="00BB0CB8">
              <w:rPr>
                <w:color w:val="17365D" w:themeColor="text2" w:themeShade="BF"/>
                <w:sz w:val="24"/>
                <w:szCs w:val="24"/>
              </w:rPr>
              <w:t>2</w:t>
            </w:r>
            <w:r>
              <w:rPr>
                <w:color w:val="17365D" w:themeColor="text2" w:themeShade="BF"/>
                <w:sz w:val="24"/>
                <w:szCs w:val="24"/>
              </w:rPr>
              <w:t>0</w:t>
            </w:r>
            <w:r w:rsidRPr="00BB0CB8">
              <w:rPr>
                <w:color w:val="17365D" w:themeColor="text2" w:themeShade="BF"/>
                <w:sz w:val="24"/>
                <w:szCs w:val="24"/>
              </w:rPr>
              <w:t>22.</w:t>
            </w:r>
          </w:p>
          <w:tbl>
            <w:tblPr>
              <w:tblW w:w="8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600"/>
              <w:gridCol w:w="60"/>
              <w:gridCol w:w="1155"/>
              <w:gridCol w:w="720"/>
              <w:gridCol w:w="863"/>
              <w:gridCol w:w="851"/>
              <w:gridCol w:w="992"/>
              <w:gridCol w:w="992"/>
              <w:gridCol w:w="1134"/>
              <w:gridCol w:w="992"/>
            </w:tblGrid>
            <w:tr w:rsidR="0063123A" w:rsidRPr="00965E01" w14:paraId="611667FD" w14:textId="77777777" w:rsidTr="0063123A">
              <w:trPr>
                <w:trHeight w:val="577"/>
              </w:trPr>
              <w:tc>
                <w:tcPr>
                  <w:tcW w:w="1245" w:type="dxa"/>
                  <w:gridSpan w:val="3"/>
                  <w:tcBorders>
                    <w:top w:val="single" w:sz="6" w:space="0" w:color="auto"/>
                    <w:left w:val="single" w:sz="6" w:space="0" w:color="auto"/>
                    <w:bottom w:val="single" w:sz="6" w:space="0" w:color="auto"/>
                    <w:right w:val="single" w:sz="6" w:space="0" w:color="auto"/>
                  </w:tcBorders>
                  <w:shd w:val="clear" w:color="auto" w:fill="EEECE1" w:themeFill="background2"/>
                  <w:vAlign w:val="center"/>
                  <w:hideMark/>
                </w:tcPr>
                <w:p w14:paraId="5A378544" w14:textId="77777777" w:rsidR="0063123A" w:rsidRPr="00965E01" w:rsidRDefault="0063123A" w:rsidP="0063123A">
                  <w:pPr>
                    <w:suppressAutoHyphens w:val="0"/>
                    <w:autoSpaceDN/>
                    <w:spacing w:after="0" w:line="240" w:lineRule="auto"/>
                    <w:jc w:val="center"/>
                    <w:textAlignment w:val="baseline"/>
                    <w:rPr>
                      <w:rFonts w:cs="Arial"/>
                      <w:color w:val="auto"/>
                      <w:sz w:val="22"/>
                      <w:szCs w:val="22"/>
                    </w:rPr>
                  </w:pPr>
                  <w:r w:rsidRPr="002F2D9F">
                    <w:rPr>
                      <w:rFonts w:cs="Arial"/>
                      <w:b/>
                      <w:bCs/>
                      <w:color w:val="auto"/>
                      <w:sz w:val="22"/>
                      <w:szCs w:val="22"/>
                    </w:rPr>
                    <w:t>Phase</w:t>
                  </w:r>
                </w:p>
                <w:p w14:paraId="1F006330" w14:textId="77777777" w:rsidR="0063123A" w:rsidRPr="00965E01" w:rsidRDefault="0063123A" w:rsidP="0063123A">
                  <w:pPr>
                    <w:suppressAutoHyphens w:val="0"/>
                    <w:autoSpaceDN/>
                    <w:spacing w:after="0" w:line="240" w:lineRule="auto"/>
                    <w:jc w:val="center"/>
                    <w:textAlignment w:val="baseline"/>
                    <w:rPr>
                      <w:rFonts w:cs="Arial"/>
                      <w:color w:val="auto"/>
                      <w:sz w:val="22"/>
                      <w:szCs w:val="22"/>
                    </w:rPr>
                  </w:pPr>
                </w:p>
              </w:tc>
              <w:tc>
                <w:tcPr>
                  <w:tcW w:w="1875" w:type="dxa"/>
                  <w:gridSpan w:val="2"/>
                  <w:tcBorders>
                    <w:top w:val="single" w:sz="6" w:space="0" w:color="auto"/>
                    <w:left w:val="single" w:sz="6" w:space="0" w:color="auto"/>
                    <w:bottom w:val="single" w:sz="6" w:space="0" w:color="auto"/>
                    <w:right w:val="single" w:sz="6" w:space="0" w:color="auto"/>
                  </w:tcBorders>
                  <w:shd w:val="clear" w:color="auto" w:fill="EEECE1" w:themeFill="background2"/>
                  <w:vAlign w:val="center"/>
                  <w:hideMark/>
                </w:tcPr>
                <w:p w14:paraId="6CE9E7F9" w14:textId="77777777" w:rsidR="0063123A" w:rsidRPr="00965E01" w:rsidRDefault="0063123A" w:rsidP="0063123A">
                  <w:pPr>
                    <w:suppressAutoHyphens w:val="0"/>
                    <w:autoSpaceDN/>
                    <w:spacing w:after="0" w:line="240" w:lineRule="auto"/>
                    <w:jc w:val="center"/>
                    <w:textAlignment w:val="baseline"/>
                    <w:rPr>
                      <w:rFonts w:cs="Arial"/>
                      <w:color w:val="auto"/>
                      <w:sz w:val="22"/>
                      <w:szCs w:val="22"/>
                    </w:rPr>
                  </w:pPr>
                  <w:r w:rsidRPr="002F2D9F">
                    <w:rPr>
                      <w:rFonts w:cs="Arial"/>
                      <w:b/>
                      <w:bCs/>
                      <w:color w:val="auto"/>
                      <w:sz w:val="22"/>
                      <w:szCs w:val="22"/>
                    </w:rPr>
                    <w:t>Aspect</w:t>
                  </w:r>
                </w:p>
              </w:tc>
              <w:tc>
                <w:tcPr>
                  <w:tcW w:w="1714" w:type="dxa"/>
                  <w:gridSpan w:val="2"/>
                  <w:tcBorders>
                    <w:top w:val="single" w:sz="6" w:space="0" w:color="auto"/>
                    <w:left w:val="single" w:sz="6" w:space="0" w:color="auto"/>
                    <w:bottom w:val="single" w:sz="6" w:space="0" w:color="auto"/>
                    <w:right w:val="single" w:sz="6" w:space="0" w:color="auto"/>
                  </w:tcBorders>
                  <w:shd w:val="clear" w:color="auto" w:fill="EEECE1" w:themeFill="background2"/>
                  <w:vAlign w:val="center"/>
                  <w:hideMark/>
                </w:tcPr>
                <w:p w14:paraId="64753CDB" w14:textId="77777777" w:rsidR="0063123A" w:rsidRPr="00965E01" w:rsidRDefault="0063123A" w:rsidP="0063123A">
                  <w:pPr>
                    <w:suppressAutoHyphens w:val="0"/>
                    <w:autoSpaceDN/>
                    <w:spacing w:after="0" w:line="240" w:lineRule="auto"/>
                    <w:jc w:val="center"/>
                    <w:textAlignment w:val="baseline"/>
                    <w:rPr>
                      <w:rFonts w:cs="Arial"/>
                      <w:color w:val="auto"/>
                      <w:sz w:val="22"/>
                      <w:szCs w:val="22"/>
                    </w:rPr>
                  </w:pPr>
                  <w:r w:rsidRPr="002F2D9F">
                    <w:rPr>
                      <w:rFonts w:cs="Arial"/>
                      <w:b/>
                      <w:bCs/>
                      <w:color w:val="auto"/>
                      <w:sz w:val="22"/>
                      <w:szCs w:val="22"/>
                    </w:rPr>
                    <w:t>2019</w:t>
                  </w:r>
                </w:p>
                <w:p w14:paraId="00AC9214" w14:textId="77777777" w:rsidR="0063123A" w:rsidRPr="00965E01" w:rsidRDefault="0063123A" w:rsidP="0063123A">
                  <w:pPr>
                    <w:suppressAutoHyphens w:val="0"/>
                    <w:autoSpaceDN/>
                    <w:spacing w:after="0" w:line="240" w:lineRule="auto"/>
                    <w:jc w:val="center"/>
                    <w:textAlignment w:val="baseline"/>
                    <w:rPr>
                      <w:rFonts w:cs="Arial"/>
                      <w:color w:val="auto"/>
                      <w:sz w:val="22"/>
                      <w:szCs w:val="22"/>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EEECE1" w:themeFill="background2"/>
                  <w:vAlign w:val="center"/>
                  <w:hideMark/>
                </w:tcPr>
                <w:p w14:paraId="776CA7AF" w14:textId="77777777" w:rsidR="0063123A" w:rsidRPr="00965E01" w:rsidRDefault="0063123A" w:rsidP="0063123A">
                  <w:pPr>
                    <w:suppressAutoHyphens w:val="0"/>
                    <w:autoSpaceDN/>
                    <w:spacing w:after="0" w:line="240" w:lineRule="auto"/>
                    <w:jc w:val="center"/>
                    <w:textAlignment w:val="baseline"/>
                    <w:rPr>
                      <w:rFonts w:cs="Arial"/>
                      <w:color w:val="auto"/>
                      <w:sz w:val="22"/>
                      <w:szCs w:val="22"/>
                    </w:rPr>
                  </w:pPr>
                  <w:r w:rsidRPr="002F2D9F">
                    <w:rPr>
                      <w:rFonts w:cs="Arial"/>
                      <w:b/>
                      <w:bCs/>
                      <w:color w:val="auto"/>
                      <w:sz w:val="22"/>
                      <w:szCs w:val="22"/>
                    </w:rPr>
                    <w:t>2022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8D08D"/>
                  <w:hideMark/>
                </w:tcPr>
                <w:p w14:paraId="1E69DB0A" w14:textId="77777777" w:rsidR="0063123A" w:rsidRPr="00965E01" w:rsidRDefault="0063123A" w:rsidP="0063123A">
                  <w:pPr>
                    <w:suppressAutoHyphens w:val="0"/>
                    <w:autoSpaceDN/>
                    <w:spacing w:after="0" w:line="240" w:lineRule="auto"/>
                    <w:jc w:val="center"/>
                    <w:textAlignment w:val="baseline"/>
                    <w:rPr>
                      <w:rFonts w:cs="Arial"/>
                      <w:color w:val="auto"/>
                      <w:sz w:val="22"/>
                      <w:szCs w:val="22"/>
                    </w:rPr>
                  </w:pPr>
                </w:p>
                <w:p w14:paraId="5E04D464" w14:textId="77777777" w:rsidR="0063123A" w:rsidRPr="002F2D9F" w:rsidRDefault="0063123A" w:rsidP="0063123A">
                  <w:pPr>
                    <w:suppressAutoHyphens w:val="0"/>
                    <w:autoSpaceDN/>
                    <w:spacing w:after="0" w:line="240" w:lineRule="auto"/>
                    <w:jc w:val="center"/>
                    <w:textAlignment w:val="baseline"/>
                    <w:rPr>
                      <w:rFonts w:cs="Arial"/>
                      <w:b/>
                      <w:color w:val="auto"/>
                      <w:sz w:val="22"/>
                      <w:szCs w:val="22"/>
                    </w:rPr>
                  </w:pPr>
                  <w:r w:rsidRPr="002F2D9F">
                    <w:rPr>
                      <w:rFonts w:cs="Arial"/>
                      <w:b/>
                      <w:color w:val="auto"/>
                      <w:sz w:val="22"/>
                      <w:szCs w:val="22"/>
                    </w:rPr>
                    <w:t>National</w:t>
                  </w:r>
                </w:p>
                <w:p w14:paraId="7A54DE49" w14:textId="77777777" w:rsidR="0063123A" w:rsidRPr="00965E01" w:rsidRDefault="0063123A" w:rsidP="0063123A">
                  <w:pPr>
                    <w:suppressAutoHyphens w:val="0"/>
                    <w:autoSpaceDN/>
                    <w:spacing w:after="0" w:line="240" w:lineRule="auto"/>
                    <w:jc w:val="center"/>
                    <w:textAlignment w:val="baseline"/>
                    <w:rPr>
                      <w:rFonts w:cs="Arial"/>
                      <w:b/>
                      <w:color w:val="auto"/>
                      <w:sz w:val="22"/>
                      <w:szCs w:val="22"/>
                    </w:rPr>
                  </w:pPr>
                  <w:r w:rsidRPr="002F2D9F">
                    <w:rPr>
                      <w:rFonts w:cs="Arial"/>
                      <w:b/>
                      <w:color w:val="auto"/>
                      <w:sz w:val="22"/>
                      <w:szCs w:val="22"/>
                    </w:rPr>
                    <w:t>2022</w:t>
                  </w:r>
                </w:p>
                <w:p w14:paraId="24E08E2F" w14:textId="77777777" w:rsidR="0063123A" w:rsidRPr="00965E01" w:rsidRDefault="0063123A" w:rsidP="0063123A">
                  <w:pPr>
                    <w:suppressAutoHyphens w:val="0"/>
                    <w:autoSpaceDN/>
                    <w:spacing w:after="0" w:line="240" w:lineRule="auto"/>
                    <w:jc w:val="center"/>
                    <w:textAlignment w:val="baseline"/>
                    <w:rPr>
                      <w:rFonts w:cs="Arial"/>
                      <w:color w:val="auto"/>
                      <w:sz w:val="22"/>
                      <w:szCs w:val="22"/>
                    </w:rPr>
                  </w:pPr>
                </w:p>
                <w:p w14:paraId="55BB57B2" w14:textId="77777777" w:rsidR="0063123A" w:rsidRPr="00965E01" w:rsidRDefault="0063123A" w:rsidP="0063123A">
                  <w:pPr>
                    <w:suppressAutoHyphens w:val="0"/>
                    <w:autoSpaceDN/>
                    <w:spacing w:after="0" w:line="240" w:lineRule="auto"/>
                    <w:jc w:val="center"/>
                    <w:textAlignment w:val="baseline"/>
                    <w:rPr>
                      <w:rFonts w:cs="Arial"/>
                      <w:color w:val="auto"/>
                      <w:sz w:val="22"/>
                      <w:szCs w:val="22"/>
                    </w:rPr>
                  </w:pPr>
                </w:p>
                <w:p w14:paraId="0F203177" w14:textId="77777777" w:rsidR="0063123A" w:rsidRPr="00965E01" w:rsidRDefault="0063123A" w:rsidP="0063123A">
                  <w:pPr>
                    <w:suppressAutoHyphens w:val="0"/>
                    <w:autoSpaceDN/>
                    <w:spacing w:after="0" w:line="240" w:lineRule="auto"/>
                    <w:jc w:val="center"/>
                    <w:textAlignment w:val="baseline"/>
                    <w:rPr>
                      <w:rFonts w:cs="Arial"/>
                      <w:color w:val="auto"/>
                      <w:sz w:val="22"/>
                      <w:szCs w:val="22"/>
                    </w:rPr>
                  </w:pPr>
                </w:p>
              </w:tc>
            </w:tr>
            <w:tr w:rsidR="0063123A" w:rsidRPr="00965E01" w14:paraId="482BBA21" w14:textId="77777777" w:rsidTr="0063123A">
              <w:trPr>
                <w:trHeight w:val="270"/>
              </w:trPr>
              <w:tc>
                <w:tcPr>
                  <w:tcW w:w="3120" w:type="dxa"/>
                  <w:gridSpan w:val="5"/>
                  <w:tcBorders>
                    <w:top w:val="single" w:sz="6" w:space="0" w:color="auto"/>
                    <w:left w:val="single" w:sz="6" w:space="0" w:color="auto"/>
                    <w:bottom w:val="single" w:sz="6" w:space="0" w:color="auto"/>
                    <w:right w:val="single" w:sz="6" w:space="0" w:color="auto"/>
                  </w:tcBorders>
                  <w:shd w:val="clear" w:color="auto" w:fill="EEECE1" w:themeFill="background2"/>
                  <w:hideMark/>
                </w:tcPr>
                <w:p w14:paraId="33A032DF" w14:textId="77777777" w:rsidR="0063123A" w:rsidRPr="00965E01" w:rsidRDefault="0063123A" w:rsidP="0063123A">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 </w:t>
                  </w:r>
                </w:p>
              </w:tc>
              <w:tc>
                <w:tcPr>
                  <w:tcW w:w="863" w:type="dxa"/>
                  <w:tcBorders>
                    <w:top w:val="single" w:sz="6" w:space="0" w:color="auto"/>
                    <w:left w:val="single" w:sz="6" w:space="0" w:color="auto"/>
                    <w:bottom w:val="single" w:sz="6" w:space="0" w:color="auto"/>
                    <w:right w:val="single" w:sz="6" w:space="0" w:color="auto"/>
                  </w:tcBorders>
                  <w:shd w:val="clear" w:color="auto" w:fill="EEECE1" w:themeFill="background2"/>
                  <w:hideMark/>
                </w:tcPr>
                <w:p w14:paraId="23CC6650" w14:textId="77777777" w:rsidR="0063123A" w:rsidRPr="00965E01" w:rsidRDefault="0063123A" w:rsidP="0063123A">
                  <w:pPr>
                    <w:suppressAutoHyphens w:val="0"/>
                    <w:autoSpaceDN/>
                    <w:spacing w:after="0" w:line="240" w:lineRule="auto"/>
                    <w:jc w:val="center"/>
                    <w:textAlignment w:val="baseline"/>
                    <w:rPr>
                      <w:rFonts w:cs="Arial"/>
                      <w:color w:val="auto"/>
                      <w:sz w:val="22"/>
                      <w:szCs w:val="22"/>
                    </w:rPr>
                  </w:pPr>
                  <w:r>
                    <w:rPr>
                      <w:rFonts w:cs="Arial"/>
                      <w:b/>
                      <w:bCs/>
                      <w:color w:val="auto"/>
                      <w:sz w:val="22"/>
                      <w:szCs w:val="22"/>
                    </w:rPr>
                    <w:t>Dis</w:t>
                  </w:r>
                  <w:r w:rsidRPr="002F2D9F">
                    <w:rPr>
                      <w:rFonts w:cs="Arial"/>
                      <w:color w:val="auto"/>
                      <w:sz w:val="22"/>
                      <w:szCs w:val="22"/>
                    </w:rPr>
                    <w:t> </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hideMark/>
                </w:tcPr>
                <w:p w14:paraId="737DC19C" w14:textId="77777777" w:rsidR="0063123A" w:rsidRPr="00965E01" w:rsidRDefault="0063123A" w:rsidP="0063123A">
                  <w:pPr>
                    <w:suppressAutoHyphens w:val="0"/>
                    <w:autoSpaceDN/>
                    <w:spacing w:after="0" w:line="240" w:lineRule="auto"/>
                    <w:jc w:val="center"/>
                    <w:textAlignment w:val="baseline"/>
                    <w:rPr>
                      <w:rFonts w:cs="Arial"/>
                      <w:color w:val="auto"/>
                      <w:sz w:val="22"/>
                      <w:szCs w:val="22"/>
                    </w:rPr>
                  </w:pPr>
                  <w:r w:rsidRPr="002F2D9F">
                    <w:rPr>
                      <w:rFonts w:cs="Arial"/>
                      <w:b/>
                      <w:bCs/>
                      <w:color w:val="auto"/>
                      <w:sz w:val="22"/>
                      <w:szCs w:val="22"/>
                    </w:rPr>
                    <w:t>Non-</w:t>
                  </w:r>
                  <w:r>
                    <w:rPr>
                      <w:rFonts w:cs="Arial"/>
                      <w:b/>
                      <w:bCs/>
                      <w:color w:val="auto"/>
                      <w:sz w:val="22"/>
                      <w:szCs w:val="22"/>
                    </w:rPr>
                    <w:t>Dis</w:t>
                  </w:r>
                </w:p>
              </w:tc>
              <w:tc>
                <w:tcPr>
                  <w:tcW w:w="992" w:type="dxa"/>
                  <w:tcBorders>
                    <w:top w:val="single" w:sz="6" w:space="0" w:color="auto"/>
                    <w:left w:val="single" w:sz="6" w:space="0" w:color="auto"/>
                    <w:bottom w:val="single" w:sz="6" w:space="0" w:color="auto"/>
                    <w:right w:val="single" w:sz="6" w:space="0" w:color="auto"/>
                  </w:tcBorders>
                  <w:shd w:val="clear" w:color="auto" w:fill="EEECE1" w:themeFill="background2"/>
                  <w:hideMark/>
                </w:tcPr>
                <w:p w14:paraId="3A796081" w14:textId="77777777" w:rsidR="0063123A" w:rsidRPr="00965E01" w:rsidRDefault="0063123A" w:rsidP="0063123A">
                  <w:pPr>
                    <w:suppressAutoHyphens w:val="0"/>
                    <w:autoSpaceDN/>
                    <w:spacing w:after="0" w:line="240" w:lineRule="auto"/>
                    <w:jc w:val="center"/>
                    <w:textAlignment w:val="baseline"/>
                    <w:rPr>
                      <w:rFonts w:cs="Arial"/>
                      <w:color w:val="auto"/>
                      <w:sz w:val="22"/>
                      <w:szCs w:val="22"/>
                    </w:rPr>
                  </w:pPr>
                  <w:r>
                    <w:rPr>
                      <w:rFonts w:cs="Arial"/>
                      <w:b/>
                      <w:bCs/>
                      <w:color w:val="auto"/>
                      <w:sz w:val="22"/>
                      <w:szCs w:val="22"/>
                    </w:rPr>
                    <w:t>Dis</w:t>
                  </w:r>
                </w:p>
              </w:tc>
              <w:tc>
                <w:tcPr>
                  <w:tcW w:w="992" w:type="dxa"/>
                  <w:tcBorders>
                    <w:top w:val="single" w:sz="6" w:space="0" w:color="auto"/>
                    <w:left w:val="single" w:sz="6" w:space="0" w:color="auto"/>
                    <w:bottom w:val="single" w:sz="6" w:space="0" w:color="auto"/>
                    <w:right w:val="single" w:sz="6" w:space="0" w:color="auto"/>
                  </w:tcBorders>
                  <w:shd w:val="clear" w:color="auto" w:fill="EEECE1" w:themeFill="background2"/>
                  <w:hideMark/>
                </w:tcPr>
                <w:p w14:paraId="5D77FED1" w14:textId="77777777" w:rsidR="0063123A" w:rsidRPr="00965E01" w:rsidRDefault="0063123A" w:rsidP="0063123A">
                  <w:pPr>
                    <w:suppressAutoHyphens w:val="0"/>
                    <w:autoSpaceDN/>
                    <w:spacing w:after="0" w:line="240" w:lineRule="auto"/>
                    <w:jc w:val="center"/>
                    <w:textAlignment w:val="baseline"/>
                    <w:rPr>
                      <w:rFonts w:cs="Arial"/>
                      <w:color w:val="auto"/>
                      <w:sz w:val="22"/>
                      <w:szCs w:val="22"/>
                    </w:rPr>
                  </w:pPr>
                  <w:r w:rsidRPr="002F2D9F">
                    <w:rPr>
                      <w:rFonts w:cs="Arial"/>
                      <w:b/>
                      <w:bCs/>
                      <w:color w:val="auto"/>
                      <w:sz w:val="22"/>
                      <w:szCs w:val="22"/>
                    </w:rPr>
                    <w:t>Non-</w:t>
                  </w:r>
                  <w:r>
                    <w:rPr>
                      <w:rFonts w:cs="Arial"/>
                      <w:b/>
                      <w:bCs/>
                      <w:color w:val="auto"/>
                      <w:sz w:val="22"/>
                      <w:szCs w:val="22"/>
                    </w:rPr>
                    <w:t>Dis</w:t>
                  </w:r>
                </w:p>
              </w:tc>
              <w:tc>
                <w:tcPr>
                  <w:tcW w:w="1134" w:type="dxa"/>
                  <w:tcBorders>
                    <w:top w:val="single" w:sz="6" w:space="0" w:color="auto"/>
                    <w:left w:val="single" w:sz="6" w:space="0" w:color="auto"/>
                    <w:bottom w:val="single" w:sz="6" w:space="0" w:color="auto"/>
                    <w:right w:val="single" w:sz="6" w:space="0" w:color="auto"/>
                  </w:tcBorders>
                  <w:shd w:val="clear" w:color="auto" w:fill="A8D08D"/>
                  <w:hideMark/>
                </w:tcPr>
                <w:p w14:paraId="5F777C7A" w14:textId="77777777" w:rsidR="0063123A" w:rsidRPr="00965E01" w:rsidRDefault="0063123A" w:rsidP="0063123A">
                  <w:pPr>
                    <w:suppressAutoHyphens w:val="0"/>
                    <w:autoSpaceDN/>
                    <w:spacing w:after="0" w:line="240" w:lineRule="auto"/>
                    <w:jc w:val="center"/>
                    <w:textAlignment w:val="baseline"/>
                    <w:rPr>
                      <w:rFonts w:cs="Arial"/>
                      <w:color w:val="auto"/>
                      <w:sz w:val="22"/>
                      <w:szCs w:val="22"/>
                    </w:rPr>
                  </w:pPr>
                  <w:r>
                    <w:rPr>
                      <w:rFonts w:cs="Arial"/>
                      <w:b/>
                      <w:bCs/>
                      <w:color w:val="auto"/>
                      <w:sz w:val="22"/>
                      <w:szCs w:val="22"/>
                    </w:rPr>
                    <w:t>Dis</w:t>
                  </w:r>
                </w:p>
              </w:tc>
              <w:tc>
                <w:tcPr>
                  <w:tcW w:w="992" w:type="dxa"/>
                  <w:tcBorders>
                    <w:top w:val="single" w:sz="6" w:space="0" w:color="auto"/>
                    <w:left w:val="single" w:sz="6" w:space="0" w:color="auto"/>
                    <w:bottom w:val="single" w:sz="6" w:space="0" w:color="auto"/>
                    <w:right w:val="single" w:sz="6" w:space="0" w:color="auto"/>
                  </w:tcBorders>
                  <w:shd w:val="clear" w:color="auto" w:fill="A8D08D"/>
                  <w:hideMark/>
                </w:tcPr>
                <w:p w14:paraId="05EF4B63" w14:textId="77777777" w:rsidR="0063123A" w:rsidRPr="00965E01" w:rsidRDefault="0063123A" w:rsidP="0063123A">
                  <w:pPr>
                    <w:suppressAutoHyphens w:val="0"/>
                    <w:autoSpaceDN/>
                    <w:spacing w:after="0" w:line="240" w:lineRule="auto"/>
                    <w:jc w:val="center"/>
                    <w:textAlignment w:val="baseline"/>
                    <w:rPr>
                      <w:rFonts w:cs="Arial"/>
                      <w:color w:val="auto"/>
                      <w:sz w:val="22"/>
                      <w:szCs w:val="22"/>
                    </w:rPr>
                  </w:pPr>
                  <w:r w:rsidRPr="002F2D9F">
                    <w:rPr>
                      <w:rFonts w:cs="Arial"/>
                      <w:b/>
                      <w:bCs/>
                      <w:color w:val="auto"/>
                      <w:sz w:val="22"/>
                      <w:szCs w:val="22"/>
                    </w:rPr>
                    <w:t>Non-</w:t>
                  </w:r>
                  <w:r>
                    <w:rPr>
                      <w:rFonts w:cs="Arial"/>
                      <w:b/>
                      <w:bCs/>
                      <w:color w:val="auto"/>
                      <w:sz w:val="22"/>
                      <w:szCs w:val="22"/>
                    </w:rPr>
                    <w:t>Dis</w:t>
                  </w:r>
                  <w:r w:rsidRPr="002F2D9F">
                    <w:rPr>
                      <w:rFonts w:cs="Arial"/>
                      <w:color w:val="auto"/>
                      <w:sz w:val="22"/>
                      <w:szCs w:val="22"/>
                    </w:rPr>
                    <w:t> </w:t>
                  </w:r>
                </w:p>
              </w:tc>
            </w:tr>
            <w:tr w:rsidR="000A2698" w:rsidRPr="00965E01" w14:paraId="441FBD0C" w14:textId="77777777" w:rsidTr="000A2698">
              <w:tc>
                <w:tcPr>
                  <w:tcW w:w="12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090616C" w14:textId="28339245" w:rsidR="000A2698" w:rsidRPr="00965E01" w:rsidRDefault="000A2698" w:rsidP="000A2698">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 xml:space="preserve">Year </w:t>
                  </w:r>
                  <w:r>
                    <w:rPr>
                      <w:rFonts w:cs="Arial"/>
                      <w:color w:val="auto"/>
                      <w:sz w:val="22"/>
                      <w:szCs w:val="22"/>
                    </w:rPr>
                    <w:t>2</w:t>
                  </w:r>
                  <w:r w:rsidRPr="002F2D9F">
                    <w:rPr>
                      <w:rFonts w:cs="Arial"/>
                      <w:color w:val="auto"/>
                      <w:sz w:val="22"/>
                      <w:szCs w:val="22"/>
                    </w:rPr>
                    <w:t> </w:t>
                  </w:r>
                </w:p>
              </w:tc>
              <w:tc>
                <w:tcPr>
                  <w:tcW w:w="18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F6597B" w14:textId="77777777" w:rsidR="000A2698" w:rsidRPr="00965E01" w:rsidRDefault="000A2698" w:rsidP="000A2698">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Reading Standard </w:t>
                  </w:r>
                </w:p>
              </w:tc>
              <w:tc>
                <w:tcPr>
                  <w:tcW w:w="863" w:type="dxa"/>
                  <w:tcBorders>
                    <w:top w:val="single" w:sz="6" w:space="0" w:color="auto"/>
                    <w:left w:val="single" w:sz="6" w:space="0" w:color="auto"/>
                    <w:bottom w:val="single" w:sz="6" w:space="0" w:color="auto"/>
                    <w:right w:val="single" w:sz="6" w:space="0" w:color="auto"/>
                  </w:tcBorders>
                  <w:shd w:val="clear" w:color="auto" w:fill="auto"/>
                </w:tcPr>
                <w:p w14:paraId="7ED39713" w14:textId="388A4C0A" w:rsidR="000A2698" w:rsidRPr="00965E01" w:rsidRDefault="000A2698" w:rsidP="000A2698">
                  <w:pPr>
                    <w:suppressAutoHyphens w:val="0"/>
                    <w:autoSpaceDN/>
                    <w:spacing w:after="0" w:line="240" w:lineRule="auto"/>
                    <w:jc w:val="center"/>
                    <w:textAlignment w:val="baseline"/>
                    <w:rPr>
                      <w:rFonts w:cs="Arial"/>
                      <w:color w:val="auto"/>
                      <w:sz w:val="22"/>
                      <w:szCs w:val="22"/>
                    </w:rPr>
                  </w:pPr>
                  <w:r>
                    <w:rPr>
                      <w:rFonts w:cs="Arial"/>
                      <w:color w:val="auto"/>
                      <w:sz w:val="22"/>
                      <w:szCs w:val="22"/>
                    </w:rPr>
                    <w:t>50%</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657BA7A" w14:textId="76D8AECD" w:rsidR="000A2698" w:rsidRPr="00965E01" w:rsidRDefault="00D12624" w:rsidP="000A2698">
                  <w:pPr>
                    <w:suppressAutoHyphens w:val="0"/>
                    <w:autoSpaceDN/>
                    <w:spacing w:after="0" w:line="240" w:lineRule="auto"/>
                    <w:jc w:val="center"/>
                    <w:textAlignment w:val="baseline"/>
                    <w:rPr>
                      <w:rFonts w:cs="Arial"/>
                      <w:color w:val="auto"/>
                      <w:sz w:val="22"/>
                      <w:szCs w:val="22"/>
                    </w:rPr>
                  </w:pPr>
                  <w:r>
                    <w:rPr>
                      <w:rFonts w:cs="Arial"/>
                      <w:color w:val="auto"/>
                      <w:sz w:val="22"/>
                      <w:szCs w:val="22"/>
                    </w:rPr>
                    <w:t>75%</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E99967D" w14:textId="3C1BDE28" w:rsidR="000A2698" w:rsidRPr="00965E01" w:rsidRDefault="000A2698" w:rsidP="000A2698">
                  <w:pPr>
                    <w:suppressAutoHyphens w:val="0"/>
                    <w:autoSpaceDN/>
                    <w:spacing w:after="0" w:line="240" w:lineRule="auto"/>
                    <w:jc w:val="center"/>
                    <w:textAlignment w:val="baseline"/>
                    <w:rPr>
                      <w:rFonts w:cs="Arial"/>
                      <w:color w:val="auto"/>
                      <w:sz w:val="22"/>
                      <w:szCs w:val="22"/>
                    </w:rPr>
                  </w:pPr>
                  <w:r w:rsidRPr="4AFE52B0">
                    <w:rPr>
                      <w:b/>
                      <w:bCs/>
                      <w:sz w:val="20"/>
                      <w:szCs w:val="20"/>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52F0DC8" w14:textId="1AE15F5A" w:rsidR="000A2698" w:rsidRPr="00965E01" w:rsidRDefault="000A2698" w:rsidP="000A2698">
                  <w:pPr>
                    <w:suppressAutoHyphens w:val="0"/>
                    <w:autoSpaceDN/>
                    <w:spacing w:after="0" w:line="240" w:lineRule="auto"/>
                    <w:jc w:val="center"/>
                    <w:textAlignment w:val="baseline"/>
                    <w:rPr>
                      <w:rFonts w:cs="Arial"/>
                      <w:color w:val="auto"/>
                      <w:sz w:val="22"/>
                      <w:szCs w:val="22"/>
                    </w:rPr>
                  </w:pPr>
                  <w:r w:rsidRPr="66AA8BAD">
                    <w:rPr>
                      <w:b/>
                      <w:bCs/>
                      <w:sz w:val="20"/>
                      <w:szCs w:val="20"/>
                    </w:rPr>
                    <w:t>75%</w:t>
                  </w:r>
                </w:p>
              </w:tc>
              <w:tc>
                <w:tcPr>
                  <w:tcW w:w="1134" w:type="dxa"/>
                  <w:tcBorders>
                    <w:top w:val="single" w:sz="6" w:space="0" w:color="auto"/>
                    <w:left w:val="single" w:sz="6" w:space="0" w:color="auto"/>
                    <w:bottom w:val="single" w:sz="6" w:space="0" w:color="auto"/>
                    <w:right w:val="single" w:sz="6" w:space="0" w:color="auto"/>
                  </w:tcBorders>
                  <w:shd w:val="clear" w:color="auto" w:fill="A8D08D"/>
                </w:tcPr>
                <w:p w14:paraId="1930795E" w14:textId="3A3E4B1A" w:rsidR="000A2698" w:rsidRPr="00965E01" w:rsidRDefault="000A2698" w:rsidP="000A2698">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51% </w:t>
                  </w:r>
                </w:p>
              </w:tc>
              <w:tc>
                <w:tcPr>
                  <w:tcW w:w="992" w:type="dxa"/>
                  <w:tcBorders>
                    <w:top w:val="single" w:sz="6" w:space="0" w:color="auto"/>
                    <w:left w:val="single" w:sz="6" w:space="0" w:color="auto"/>
                    <w:bottom w:val="single" w:sz="6" w:space="0" w:color="auto"/>
                    <w:right w:val="single" w:sz="6" w:space="0" w:color="auto"/>
                  </w:tcBorders>
                  <w:shd w:val="clear" w:color="auto" w:fill="A8D08D"/>
                </w:tcPr>
                <w:p w14:paraId="73ACB81A" w14:textId="02D3F4FF" w:rsidR="000A2698" w:rsidRPr="00965E01" w:rsidRDefault="000A2698" w:rsidP="000A2698">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72% </w:t>
                  </w:r>
                </w:p>
              </w:tc>
            </w:tr>
            <w:tr w:rsidR="0063123A" w:rsidRPr="002F2D9F" w14:paraId="69918278" w14:textId="77777777" w:rsidTr="0063123A">
              <w:trPr>
                <w:gridAfter w:val="7"/>
                <w:wAfter w:w="6544" w:type="dxa"/>
              </w:trPr>
              <w:tc>
                <w:tcPr>
                  <w:tcW w:w="585" w:type="dxa"/>
                  <w:tcBorders>
                    <w:top w:val="single" w:sz="6" w:space="0" w:color="auto"/>
                    <w:left w:val="nil"/>
                    <w:bottom w:val="single" w:sz="6" w:space="0" w:color="auto"/>
                    <w:right w:val="nil"/>
                  </w:tcBorders>
                  <w:shd w:val="clear" w:color="auto" w:fill="auto"/>
                  <w:hideMark/>
                </w:tcPr>
                <w:p w14:paraId="10A45C17" w14:textId="77777777" w:rsidR="0063123A" w:rsidRPr="00965E01" w:rsidRDefault="0063123A" w:rsidP="0063123A">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 </w:t>
                  </w:r>
                </w:p>
              </w:tc>
              <w:tc>
                <w:tcPr>
                  <w:tcW w:w="600" w:type="dxa"/>
                  <w:tcBorders>
                    <w:top w:val="single" w:sz="6" w:space="0" w:color="auto"/>
                    <w:left w:val="nil"/>
                    <w:bottom w:val="single" w:sz="6" w:space="0" w:color="auto"/>
                    <w:right w:val="nil"/>
                  </w:tcBorders>
                  <w:shd w:val="clear" w:color="auto" w:fill="auto"/>
                  <w:hideMark/>
                </w:tcPr>
                <w:p w14:paraId="0C6D92F5" w14:textId="77777777" w:rsidR="0063123A" w:rsidRPr="00965E01" w:rsidRDefault="0063123A" w:rsidP="0063123A">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 </w:t>
                  </w:r>
                </w:p>
              </w:tc>
              <w:tc>
                <w:tcPr>
                  <w:tcW w:w="1215" w:type="dxa"/>
                  <w:gridSpan w:val="2"/>
                  <w:tcBorders>
                    <w:top w:val="single" w:sz="6" w:space="0" w:color="auto"/>
                    <w:left w:val="nil"/>
                    <w:bottom w:val="single" w:sz="6" w:space="0" w:color="auto"/>
                    <w:right w:val="nil"/>
                  </w:tcBorders>
                  <w:shd w:val="clear" w:color="auto" w:fill="auto"/>
                  <w:hideMark/>
                </w:tcPr>
                <w:p w14:paraId="62AB881C" w14:textId="77777777" w:rsidR="0063123A" w:rsidRPr="00965E01" w:rsidRDefault="0063123A" w:rsidP="0063123A">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 </w:t>
                  </w:r>
                </w:p>
              </w:tc>
            </w:tr>
            <w:tr w:rsidR="000A2698" w:rsidRPr="00965E01" w14:paraId="491BE9E5" w14:textId="77777777" w:rsidTr="000A2698">
              <w:tc>
                <w:tcPr>
                  <w:tcW w:w="12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E472FCE" w14:textId="741AD26D" w:rsidR="000A2698" w:rsidRPr="00965E01" w:rsidRDefault="000A2698" w:rsidP="000A2698">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 xml:space="preserve">Year </w:t>
                  </w:r>
                  <w:r>
                    <w:rPr>
                      <w:rFonts w:cs="Arial"/>
                      <w:color w:val="auto"/>
                      <w:sz w:val="22"/>
                      <w:szCs w:val="22"/>
                    </w:rPr>
                    <w:t>2</w:t>
                  </w:r>
                  <w:r w:rsidRPr="002F2D9F">
                    <w:rPr>
                      <w:rFonts w:cs="Arial"/>
                      <w:color w:val="auto"/>
                      <w:sz w:val="22"/>
                      <w:szCs w:val="22"/>
                    </w:rPr>
                    <w:t> </w:t>
                  </w:r>
                </w:p>
              </w:tc>
              <w:tc>
                <w:tcPr>
                  <w:tcW w:w="18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01AF20" w14:textId="77777777" w:rsidR="000A2698" w:rsidRPr="00965E01" w:rsidRDefault="000A2698" w:rsidP="000A2698">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Writing Standard </w:t>
                  </w:r>
                </w:p>
              </w:tc>
              <w:tc>
                <w:tcPr>
                  <w:tcW w:w="863" w:type="dxa"/>
                  <w:tcBorders>
                    <w:top w:val="single" w:sz="6" w:space="0" w:color="auto"/>
                    <w:left w:val="single" w:sz="6" w:space="0" w:color="auto"/>
                    <w:bottom w:val="single" w:sz="6" w:space="0" w:color="auto"/>
                    <w:right w:val="single" w:sz="6" w:space="0" w:color="auto"/>
                  </w:tcBorders>
                  <w:shd w:val="clear" w:color="auto" w:fill="auto"/>
                </w:tcPr>
                <w:p w14:paraId="47A84ECB" w14:textId="534FF1A2" w:rsidR="000A2698" w:rsidRPr="00965E01" w:rsidRDefault="000A2698" w:rsidP="000A2698">
                  <w:pPr>
                    <w:suppressAutoHyphens w:val="0"/>
                    <w:autoSpaceDN/>
                    <w:spacing w:after="0" w:line="240" w:lineRule="auto"/>
                    <w:jc w:val="center"/>
                    <w:textAlignment w:val="baseline"/>
                    <w:rPr>
                      <w:rFonts w:cs="Arial"/>
                      <w:color w:val="auto"/>
                      <w:sz w:val="22"/>
                      <w:szCs w:val="22"/>
                    </w:rPr>
                  </w:pPr>
                  <w:r>
                    <w:rPr>
                      <w:rFonts w:cs="Arial"/>
                      <w:color w:val="auto"/>
                      <w:sz w:val="22"/>
                      <w:szCs w:val="22"/>
                    </w:rPr>
                    <w:t>50%</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EE3985E" w14:textId="11686E2B" w:rsidR="000A2698" w:rsidRPr="00965E01" w:rsidRDefault="00D12624" w:rsidP="000A2698">
                  <w:pPr>
                    <w:suppressAutoHyphens w:val="0"/>
                    <w:autoSpaceDN/>
                    <w:spacing w:after="0" w:line="240" w:lineRule="auto"/>
                    <w:jc w:val="center"/>
                    <w:textAlignment w:val="baseline"/>
                    <w:rPr>
                      <w:rFonts w:cs="Arial"/>
                      <w:color w:val="auto"/>
                      <w:sz w:val="22"/>
                      <w:szCs w:val="22"/>
                    </w:rPr>
                  </w:pPr>
                  <w:r>
                    <w:rPr>
                      <w:rFonts w:cs="Arial"/>
                      <w:color w:val="auto"/>
                      <w:sz w:val="22"/>
                      <w:szCs w:val="22"/>
                    </w:rPr>
                    <w:t>75%</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C5900BA" w14:textId="2029FD7C" w:rsidR="000A2698" w:rsidRPr="00965E01" w:rsidRDefault="000A2698" w:rsidP="000A2698">
                  <w:pPr>
                    <w:suppressAutoHyphens w:val="0"/>
                    <w:autoSpaceDN/>
                    <w:spacing w:after="0" w:line="240" w:lineRule="auto"/>
                    <w:jc w:val="center"/>
                    <w:textAlignment w:val="baseline"/>
                    <w:rPr>
                      <w:rFonts w:cs="Arial"/>
                      <w:color w:val="auto"/>
                      <w:sz w:val="22"/>
                      <w:szCs w:val="22"/>
                    </w:rPr>
                  </w:pPr>
                  <w:r w:rsidRPr="4AFE52B0">
                    <w:rPr>
                      <w:b/>
                      <w:bCs/>
                      <w:sz w:val="20"/>
                      <w:szCs w:val="20"/>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D7DAA5A" w14:textId="2B3B7FB9" w:rsidR="000A2698" w:rsidRPr="00965E01" w:rsidRDefault="000A2698" w:rsidP="000A2698">
                  <w:pPr>
                    <w:suppressAutoHyphens w:val="0"/>
                    <w:autoSpaceDN/>
                    <w:spacing w:after="0" w:line="240" w:lineRule="auto"/>
                    <w:jc w:val="center"/>
                    <w:textAlignment w:val="baseline"/>
                    <w:rPr>
                      <w:rFonts w:cs="Arial"/>
                      <w:color w:val="auto"/>
                      <w:sz w:val="22"/>
                      <w:szCs w:val="22"/>
                    </w:rPr>
                  </w:pPr>
                  <w:r w:rsidRPr="66AA8BAD">
                    <w:rPr>
                      <w:b/>
                      <w:bCs/>
                      <w:sz w:val="20"/>
                      <w:szCs w:val="20"/>
                    </w:rPr>
                    <w:t>62%</w:t>
                  </w:r>
                </w:p>
              </w:tc>
              <w:tc>
                <w:tcPr>
                  <w:tcW w:w="1134" w:type="dxa"/>
                  <w:tcBorders>
                    <w:top w:val="single" w:sz="6" w:space="0" w:color="auto"/>
                    <w:left w:val="single" w:sz="6" w:space="0" w:color="auto"/>
                    <w:bottom w:val="single" w:sz="6" w:space="0" w:color="auto"/>
                    <w:right w:val="single" w:sz="6" w:space="0" w:color="auto"/>
                  </w:tcBorders>
                  <w:shd w:val="clear" w:color="auto" w:fill="A8D08D"/>
                </w:tcPr>
                <w:p w14:paraId="78FCFCCF" w14:textId="1C2CE987" w:rsidR="000A2698" w:rsidRPr="00965E01" w:rsidRDefault="000A2698" w:rsidP="000A2698">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41% </w:t>
                  </w:r>
                </w:p>
              </w:tc>
              <w:tc>
                <w:tcPr>
                  <w:tcW w:w="992" w:type="dxa"/>
                  <w:tcBorders>
                    <w:top w:val="single" w:sz="6" w:space="0" w:color="auto"/>
                    <w:left w:val="single" w:sz="6" w:space="0" w:color="auto"/>
                    <w:bottom w:val="single" w:sz="6" w:space="0" w:color="auto"/>
                    <w:right w:val="single" w:sz="6" w:space="0" w:color="auto"/>
                  </w:tcBorders>
                  <w:shd w:val="clear" w:color="auto" w:fill="A8D08D"/>
                </w:tcPr>
                <w:p w14:paraId="1C7B814B" w14:textId="0207AA3A" w:rsidR="000A2698" w:rsidRPr="00965E01" w:rsidRDefault="000A2698" w:rsidP="000A2698">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63% </w:t>
                  </w:r>
                </w:p>
              </w:tc>
            </w:tr>
            <w:tr w:rsidR="0063123A" w:rsidRPr="002F2D9F" w14:paraId="209AC74C" w14:textId="77777777" w:rsidTr="0063123A">
              <w:trPr>
                <w:gridAfter w:val="7"/>
                <w:wAfter w:w="6544" w:type="dxa"/>
              </w:trPr>
              <w:tc>
                <w:tcPr>
                  <w:tcW w:w="585" w:type="dxa"/>
                  <w:tcBorders>
                    <w:top w:val="single" w:sz="6" w:space="0" w:color="auto"/>
                    <w:left w:val="nil"/>
                    <w:bottom w:val="single" w:sz="6" w:space="0" w:color="auto"/>
                    <w:right w:val="nil"/>
                  </w:tcBorders>
                  <w:shd w:val="clear" w:color="auto" w:fill="auto"/>
                  <w:hideMark/>
                </w:tcPr>
                <w:p w14:paraId="26006628" w14:textId="77777777" w:rsidR="0063123A" w:rsidRPr="00965E01" w:rsidRDefault="0063123A" w:rsidP="0063123A">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 </w:t>
                  </w:r>
                </w:p>
              </w:tc>
              <w:tc>
                <w:tcPr>
                  <w:tcW w:w="600" w:type="dxa"/>
                  <w:tcBorders>
                    <w:top w:val="single" w:sz="6" w:space="0" w:color="auto"/>
                    <w:left w:val="nil"/>
                    <w:bottom w:val="single" w:sz="6" w:space="0" w:color="auto"/>
                    <w:right w:val="nil"/>
                  </w:tcBorders>
                  <w:shd w:val="clear" w:color="auto" w:fill="auto"/>
                  <w:hideMark/>
                </w:tcPr>
                <w:p w14:paraId="785BD2A9" w14:textId="77777777" w:rsidR="0063123A" w:rsidRPr="00965E01" w:rsidRDefault="0063123A" w:rsidP="0063123A">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 </w:t>
                  </w:r>
                </w:p>
              </w:tc>
              <w:tc>
                <w:tcPr>
                  <w:tcW w:w="1215" w:type="dxa"/>
                  <w:gridSpan w:val="2"/>
                  <w:tcBorders>
                    <w:top w:val="single" w:sz="6" w:space="0" w:color="auto"/>
                    <w:left w:val="nil"/>
                    <w:bottom w:val="single" w:sz="6" w:space="0" w:color="auto"/>
                    <w:right w:val="nil"/>
                  </w:tcBorders>
                  <w:shd w:val="clear" w:color="auto" w:fill="auto"/>
                  <w:hideMark/>
                </w:tcPr>
                <w:p w14:paraId="75AD9E31" w14:textId="77777777" w:rsidR="0063123A" w:rsidRPr="00965E01" w:rsidRDefault="0063123A" w:rsidP="0063123A">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 </w:t>
                  </w:r>
                </w:p>
              </w:tc>
            </w:tr>
            <w:tr w:rsidR="000A2698" w:rsidRPr="00965E01" w14:paraId="4B462439" w14:textId="77777777" w:rsidTr="000A2698">
              <w:tc>
                <w:tcPr>
                  <w:tcW w:w="12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CDC6E12" w14:textId="0124B774" w:rsidR="000A2698" w:rsidRPr="00965E01" w:rsidRDefault="000A2698" w:rsidP="000A2698">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 xml:space="preserve">Year </w:t>
                  </w:r>
                  <w:r>
                    <w:rPr>
                      <w:rFonts w:cs="Arial"/>
                      <w:color w:val="auto"/>
                      <w:sz w:val="22"/>
                      <w:szCs w:val="22"/>
                    </w:rPr>
                    <w:t>2</w:t>
                  </w:r>
                </w:p>
              </w:tc>
              <w:tc>
                <w:tcPr>
                  <w:tcW w:w="18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F77A2F8" w14:textId="77777777" w:rsidR="000A2698" w:rsidRPr="00965E01" w:rsidRDefault="000A2698" w:rsidP="000A2698">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Maths Standard </w:t>
                  </w:r>
                </w:p>
              </w:tc>
              <w:tc>
                <w:tcPr>
                  <w:tcW w:w="863" w:type="dxa"/>
                  <w:tcBorders>
                    <w:top w:val="single" w:sz="6" w:space="0" w:color="auto"/>
                    <w:left w:val="single" w:sz="6" w:space="0" w:color="auto"/>
                    <w:bottom w:val="single" w:sz="6" w:space="0" w:color="auto"/>
                    <w:right w:val="single" w:sz="6" w:space="0" w:color="auto"/>
                  </w:tcBorders>
                  <w:shd w:val="clear" w:color="auto" w:fill="auto"/>
                </w:tcPr>
                <w:p w14:paraId="0BB3FCCF" w14:textId="0896578D" w:rsidR="000A2698" w:rsidRPr="00965E01" w:rsidRDefault="000A2698" w:rsidP="000A2698">
                  <w:pPr>
                    <w:suppressAutoHyphens w:val="0"/>
                    <w:autoSpaceDN/>
                    <w:spacing w:after="0" w:line="240" w:lineRule="auto"/>
                    <w:jc w:val="center"/>
                    <w:textAlignment w:val="baseline"/>
                    <w:rPr>
                      <w:rFonts w:cs="Arial"/>
                      <w:color w:val="auto"/>
                      <w:sz w:val="22"/>
                      <w:szCs w:val="22"/>
                    </w:rPr>
                  </w:pPr>
                  <w:r>
                    <w:rPr>
                      <w:rFonts w:cs="Arial"/>
                      <w:color w:val="auto"/>
                      <w:sz w:val="22"/>
                      <w:szCs w:val="22"/>
                    </w:rPr>
                    <w:t>63%</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2F63638" w14:textId="13CBFF4F" w:rsidR="000A2698" w:rsidRPr="00965E01" w:rsidRDefault="00D12624" w:rsidP="000A2698">
                  <w:pPr>
                    <w:suppressAutoHyphens w:val="0"/>
                    <w:autoSpaceDN/>
                    <w:spacing w:after="0" w:line="240" w:lineRule="auto"/>
                    <w:jc w:val="center"/>
                    <w:textAlignment w:val="baseline"/>
                    <w:rPr>
                      <w:rFonts w:cs="Arial"/>
                      <w:color w:val="auto"/>
                      <w:sz w:val="22"/>
                      <w:szCs w:val="22"/>
                    </w:rPr>
                  </w:pPr>
                  <w:r>
                    <w:rPr>
                      <w:rFonts w:cs="Arial"/>
                      <w:color w:val="auto"/>
                      <w:sz w:val="22"/>
                      <w:szCs w:val="22"/>
                    </w:rPr>
                    <w:t>77%</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A8AAB7C" w14:textId="64BBC935" w:rsidR="000A2698" w:rsidRPr="00965E01" w:rsidRDefault="000A2698" w:rsidP="000A2698">
                  <w:pPr>
                    <w:suppressAutoHyphens w:val="0"/>
                    <w:autoSpaceDN/>
                    <w:spacing w:after="0" w:line="240" w:lineRule="auto"/>
                    <w:jc w:val="center"/>
                    <w:textAlignment w:val="baseline"/>
                    <w:rPr>
                      <w:rFonts w:cs="Arial"/>
                      <w:color w:val="auto"/>
                      <w:sz w:val="22"/>
                      <w:szCs w:val="22"/>
                    </w:rPr>
                  </w:pPr>
                  <w:r w:rsidRPr="4AFE52B0">
                    <w:rPr>
                      <w:b/>
                      <w:bCs/>
                      <w:sz w:val="20"/>
                      <w:szCs w:val="20"/>
                    </w:rPr>
                    <w:t>75%</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4E15CD0" w14:textId="4EC99023" w:rsidR="000A2698" w:rsidRPr="00965E01" w:rsidRDefault="000A2698" w:rsidP="000A2698">
                  <w:pPr>
                    <w:suppressAutoHyphens w:val="0"/>
                    <w:autoSpaceDN/>
                    <w:spacing w:after="0" w:line="240" w:lineRule="auto"/>
                    <w:jc w:val="center"/>
                    <w:textAlignment w:val="baseline"/>
                    <w:rPr>
                      <w:rFonts w:cs="Arial"/>
                      <w:color w:val="auto"/>
                      <w:sz w:val="22"/>
                      <w:szCs w:val="22"/>
                    </w:rPr>
                  </w:pPr>
                  <w:r w:rsidRPr="66AA8BAD">
                    <w:rPr>
                      <w:b/>
                      <w:bCs/>
                      <w:sz w:val="20"/>
                      <w:szCs w:val="20"/>
                    </w:rPr>
                    <w:t>85%</w:t>
                  </w:r>
                </w:p>
              </w:tc>
              <w:tc>
                <w:tcPr>
                  <w:tcW w:w="1134" w:type="dxa"/>
                  <w:tcBorders>
                    <w:top w:val="single" w:sz="6" w:space="0" w:color="auto"/>
                    <w:left w:val="single" w:sz="6" w:space="0" w:color="auto"/>
                    <w:bottom w:val="single" w:sz="6" w:space="0" w:color="auto"/>
                    <w:right w:val="single" w:sz="6" w:space="0" w:color="auto"/>
                  </w:tcBorders>
                  <w:shd w:val="clear" w:color="auto" w:fill="A8D08D"/>
                </w:tcPr>
                <w:p w14:paraId="54B243D8" w14:textId="48FD883D" w:rsidR="000A2698" w:rsidRPr="00965E01" w:rsidRDefault="000A2698" w:rsidP="000A2698">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52% </w:t>
                  </w:r>
                </w:p>
              </w:tc>
              <w:tc>
                <w:tcPr>
                  <w:tcW w:w="992" w:type="dxa"/>
                  <w:tcBorders>
                    <w:top w:val="single" w:sz="6" w:space="0" w:color="auto"/>
                    <w:left w:val="single" w:sz="6" w:space="0" w:color="auto"/>
                    <w:bottom w:val="single" w:sz="6" w:space="0" w:color="auto"/>
                    <w:right w:val="single" w:sz="6" w:space="0" w:color="auto"/>
                  </w:tcBorders>
                  <w:shd w:val="clear" w:color="auto" w:fill="A8D08D"/>
                </w:tcPr>
                <w:p w14:paraId="55E19CB8" w14:textId="416070A4" w:rsidR="000A2698" w:rsidRPr="00965E01" w:rsidRDefault="000A2698" w:rsidP="000A2698">
                  <w:pPr>
                    <w:suppressAutoHyphens w:val="0"/>
                    <w:autoSpaceDN/>
                    <w:spacing w:after="0" w:line="240" w:lineRule="auto"/>
                    <w:jc w:val="center"/>
                    <w:textAlignment w:val="baseline"/>
                    <w:rPr>
                      <w:rFonts w:cs="Arial"/>
                      <w:color w:val="auto"/>
                      <w:sz w:val="22"/>
                      <w:szCs w:val="22"/>
                    </w:rPr>
                  </w:pPr>
                  <w:r w:rsidRPr="002F2D9F">
                    <w:rPr>
                      <w:rFonts w:cs="Arial"/>
                      <w:color w:val="auto"/>
                      <w:sz w:val="22"/>
                      <w:szCs w:val="22"/>
                    </w:rPr>
                    <w:t>73% </w:t>
                  </w:r>
                </w:p>
              </w:tc>
            </w:tr>
          </w:tbl>
          <w:p w14:paraId="0FB24E96" w14:textId="77777777" w:rsidR="00E46CCE" w:rsidRDefault="00E46CCE" w:rsidP="007F30F5">
            <w:pPr>
              <w:autoSpaceDN/>
              <w:spacing w:before="120"/>
              <w:rPr>
                <w:color w:val="auto"/>
              </w:rPr>
            </w:pPr>
          </w:p>
          <w:p w14:paraId="299AF7E1" w14:textId="65E168A0" w:rsidR="00E46CCE" w:rsidRDefault="00E46CCE" w:rsidP="007F30F5">
            <w:pPr>
              <w:autoSpaceDN/>
              <w:spacing w:before="120"/>
              <w:rPr>
                <w:color w:val="auto"/>
                <w:sz w:val="22"/>
                <w:szCs w:val="22"/>
              </w:rPr>
            </w:pPr>
            <w:r>
              <w:rPr>
                <w:color w:val="auto"/>
                <w:sz w:val="22"/>
                <w:szCs w:val="22"/>
              </w:rPr>
              <w:t>Outcomes</w:t>
            </w:r>
            <w:r w:rsidRPr="002F2D9F">
              <w:rPr>
                <w:color w:val="auto"/>
                <w:sz w:val="22"/>
                <w:szCs w:val="22"/>
              </w:rPr>
              <w:t xml:space="preserve"> from </w:t>
            </w:r>
            <w:r>
              <w:rPr>
                <w:color w:val="auto"/>
                <w:sz w:val="22"/>
                <w:szCs w:val="22"/>
              </w:rPr>
              <w:t xml:space="preserve">the KS1 </w:t>
            </w:r>
            <w:r w:rsidRPr="002F2D9F">
              <w:rPr>
                <w:color w:val="auto"/>
                <w:sz w:val="22"/>
                <w:szCs w:val="22"/>
              </w:rPr>
              <w:t>assessments s</w:t>
            </w:r>
            <w:r>
              <w:rPr>
                <w:color w:val="auto"/>
                <w:sz w:val="22"/>
                <w:szCs w:val="22"/>
              </w:rPr>
              <w:t>how t</w:t>
            </w:r>
            <w:r w:rsidRPr="002F2D9F">
              <w:rPr>
                <w:color w:val="auto"/>
                <w:sz w:val="22"/>
                <w:szCs w:val="22"/>
              </w:rPr>
              <w:t>hat, attainment of the school’s disadvantaged pupils in 2021/22</w:t>
            </w:r>
            <w:r>
              <w:rPr>
                <w:color w:val="auto"/>
                <w:sz w:val="22"/>
                <w:szCs w:val="22"/>
              </w:rPr>
              <w:t xml:space="preserve"> remained the same in Reading &amp; Writing and was higher by 12% in 2022 in Maths. The above results show that for our KS1 disadvantaged pupils, we were either above (in Maths and Writing) or broadly in li</w:t>
            </w:r>
            <w:r w:rsidR="00AD677C">
              <w:rPr>
                <w:color w:val="auto"/>
                <w:sz w:val="22"/>
                <w:szCs w:val="22"/>
              </w:rPr>
              <w:t>n</w:t>
            </w:r>
            <w:r>
              <w:rPr>
                <w:color w:val="auto"/>
                <w:sz w:val="22"/>
                <w:szCs w:val="22"/>
              </w:rPr>
              <w:t xml:space="preserve">e for Reading (-1%) with the national disadvantaged figures. The above results also show that the gap between our disadvantaged and non-disadvantaged pupils between 2019 and 2022 has closed, apart from in Reading which remains a priority on our SDP and Pupil Premium strategy. </w:t>
            </w:r>
          </w:p>
          <w:p w14:paraId="3CBB27FC" w14:textId="77777777" w:rsidR="00A015A0" w:rsidRDefault="00A015A0" w:rsidP="007F30F5">
            <w:pPr>
              <w:autoSpaceDN/>
              <w:spacing w:before="120"/>
              <w:rPr>
                <w:color w:val="auto"/>
                <w:sz w:val="22"/>
                <w:szCs w:val="22"/>
              </w:rPr>
            </w:pPr>
          </w:p>
          <w:tbl>
            <w:tblPr>
              <w:tblStyle w:val="TableGrid"/>
              <w:tblpPr w:leftFromText="180" w:rightFromText="180" w:vertAnchor="text" w:horzAnchor="margin" w:tblpY="151"/>
              <w:tblOverlap w:val="never"/>
              <w:tblW w:w="5991" w:type="dxa"/>
              <w:tblLook w:val="04A0" w:firstRow="1" w:lastRow="0" w:firstColumn="1" w:lastColumn="0" w:noHBand="0" w:noVBand="1"/>
            </w:tblPr>
            <w:tblGrid>
              <w:gridCol w:w="2491"/>
              <w:gridCol w:w="1752"/>
              <w:gridCol w:w="1748"/>
            </w:tblGrid>
            <w:tr w:rsidR="00D02445" w:rsidRPr="00D17109" w14:paraId="29A4B58F" w14:textId="6EC8254E" w:rsidTr="00D02445">
              <w:trPr>
                <w:trHeight w:val="432"/>
              </w:trPr>
              <w:tc>
                <w:tcPr>
                  <w:tcW w:w="2491" w:type="dxa"/>
                  <w:shd w:val="clear" w:color="auto" w:fill="CCC0D9" w:themeFill="accent4" w:themeFillTint="66"/>
                </w:tcPr>
                <w:p w14:paraId="52AA65A7" w14:textId="77777777" w:rsidR="00D02445" w:rsidRPr="00D17109" w:rsidRDefault="00D02445" w:rsidP="00A015A0">
                  <w:pPr>
                    <w:jc w:val="center"/>
                    <w:rPr>
                      <w:rFonts w:cstheme="minorHAnsi"/>
                      <w:b/>
                    </w:rPr>
                  </w:pPr>
                  <w:r w:rsidRPr="00D17109">
                    <w:rPr>
                      <w:rFonts w:cstheme="minorHAnsi"/>
                      <w:b/>
                    </w:rPr>
                    <w:t>Phonics – YR 1</w:t>
                  </w:r>
                </w:p>
              </w:tc>
              <w:tc>
                <w:tcPr>
                  <w:tcW w:w="1752" w:type="dxa"/>
                  <w:shd w:val="clear" w:color="auto" w:fill="CCC0D9" w:themeFill="accent4" w:themeFillTint="66"/>
                </w:tcPr>
                <w:p w14:paraId="6E0AA68F" w14:textId="01850B10" w:rsidR="00D02445" w:rsidRPr="00D17109" w:rsidRDefault="00D02445" w:rsidP="00D02445">
                  <w:pPr>
                    <w:jc w:val="center"/>
                    <w:rPr>
                      <w:rFonts w:cstheme="minorHAnsi"/>
                      <w:b/>
                    </w:rPr>
                  </w:pPr>
                  <w:r>
                    <w:rPr>
                      <w:rFonts w:cstheme="minorHAnsi"/>
                      <w:b/>
                    </w:rPr>
                    <w:t>2022</w:t>
                  </w:r>
                </w:p>
              </w:tc>
              <w:tc>
                <w:tcPr>
                  <w:tcW w:w="1748" w:type="dxa"/>
                  <w:shd w:val="clear" w:color="auto" w:fill="CCC0D9" w:themeFill="accent4" w:themeFillTint="66"/>
                </w:tcPr>
                <w:p w14:paraId="0F4C19AD" w14:textId="2D75E3DA" w:rsidR="00D02445" w:rsidRPr="00D17109" w:rsidRDefault="00D02445" w:rsidP="00D02445">
                  <w:pPr>
                    <w:jc w:val="center"/>
                    <w:rPr>
                      <w:rFonts w:cstheme="minorHAnsi"/>
                      <w:b/>
                    </w:rPr>
                  </w:pPr>
                  <w:r>
                    <w:rPr>
                      <w:rFonts w:cstheme="minorHAnsi"/>
                      <w:b/>
                    </w:rPr>
                    <w:t>2019</w:t>
                  </w:r>
                </w:p>
              </w:tc>
            </w:tr>
            <w:tr w:rsidR="00D02445" w:rsidRPr="00D17109" w14:paraId="0D93386A" w14:textId="7581AA88" w:rsidTr="00D02445">
              <w:trPr>
                <w:trHeight w:val="679"/>
              </w:trPr>
              <w:tc>
                <w:tcPr>
                  <w:tcW w:w="2491" w:type="dxa"/>
                </w:tcPr>
                <w:p w14:paraId="2ED6014C" w14:textId="77777777" w:rsidR="00D02445" w:rsidRPr="00D17109" w:rsidRDefault="00D02445" w:rsidP="00A015A0">
                  <w:pPr>
                    <w:rPr>
                      <w:rFonts w:cstheme="minorHAnsi"/>
                      <w:b/>
                    </w:rPr>
                  </w:pPr>
                  <w:r>
                    <w:rPr>
                      <w:rStyle w:val="normaltextrun"/>
                      <w:rFonts w:cs="Calibri"/>
                    </w:rPr>
                    <w:t>Disadvantaged Pass</w:t>
                  </w:r>
                  <w:r>
                    <w:rPr>
                      <w:rStyle w:val="eop"/>
                      <w:rFonts w:cs="Calibri"/>
                    </w:rPr>
                    <w:t> </w:t>
                  </w:r>
                </w:p>
              </w:tc>
              <w:tc>
                <w:tcPr>
                  <w:tcW w:w="1752" w:type="dxa"/>
                </w:tcPr>
                <w:p w14:paraId="62FC8BFC" w14:textId="5C0FB91D" w:rsidR="00D02445" w:rsidRPr="00D17109" w:rsidRDefault="00D02445" w:rsidP="00A015A0">
                  <w:pPr>
                    <w:jc w:val="center"/>
                    <w:rPr>
                      <w:b/>
                      <w:bCs/>
                    </w:rPr>
                  </w:pPr>
                  <w:r>
                    <w:rPr>
                      <w:rStyle w:val="normaltextrun"/>
                      <w:rFonts w:cs="Calibri"/>
                    </w:rPr>
                    <w:t>43% (3/7)</w:t>
                  </w:r>
                  <w:r>
                    <w:rPr>
                      <w:rStyle w:val="eop"/>
                      <w:rFonts w:cs="Calibri"/>
                    </w:rPr>
                    <w:t> </w:t>
                  </w:r>
                </w:p>
              </w:tc>
              <w:tc>
                <w:tcPr>
                  <w:tcW w:w="1748" w:type="dxa"/>
                </w:tcPr>
                <w:p w14:paraId="0A781573" w14:textId="19368C21" w:rsidR="00D02445" w:rsidRDefault="00D02445" w:rsidP="00A015A0">
                  <w:pPr>
                    <w:jc w:val="center"/>
                    <w:rPr>
                      <w:rStyle w:val="normaltextrun"/>
                      <w:rFonts w:cs="Calibri"/>
                    </w:rPr>
                  </w:pPr>
                  <w:r>
                    <w:rPr>
                      <w:rStyle w:val="normaltextrun"/>
                      <w:rFonts w:cs="Calibri"/>
                    </w:rPr>
                    <w:t>75%</w:t>
                  </w:r>
                  <w:r w:rsidR="000F1BEF">
                    <w:rPr>
                      <w:rStyle w:val="normaltextrun"/>
                      <w:rFonts w:cs="Calibri"/>
                    </w:rPr>
                    <w:t xml:space="preserve"> (</w:t>
                  </w:r>
                  <w:r>
                    <w:rPr>
                      <w:rStyle w:val="normaltextrun"/>
                      <w:rFonts w:cs="Calibri"/>
                    </w:rPr>
                    <w:t>3/4</w:t>
                  </w:r>
                  <w:r w:rsidR="000F1BEF">
                    <w:rPr>
                      <w:rStyle w:val="normaltextrun"/>
                      <w:rFonts w:cs="Calibri"/>
                    </w:rPr>
                    <w:t>)</w:t>
                  </w:r>
                  <w:r>
                    <w:rPr>
                      <w:rStyle w:val="normaltextrun"/>
                      <w:rFonts w:cs="Calibri"/>
                    </w:rPr>
                    <w:t xml:space="preserve"> </w:t>
                  </w:r>
                </w:p>
              </w:tc>
            </w:tr>
            <w:tr w:rsidR="00D02445" w:rsidRPr="00D17109" w14:paraId="63504D5E" w14:textId="3BDBA1F0" w:rsidTr="00D02445">
              <w:trPr>
                <w:trHeight w:val="432"/>
              </w:trPr>
              <w:tc>
                <w:tcPr>
                  <w:tcW w:w="2491" w:type="dxa"/>
                  <w:shd w:val="clear" w:color="auto" w:fill="CCC0D9" w:themeFill="accent4" w:themeFillTint="66"/>
                </w:tcPr>
                <w:p w14:paraId="63E7E344" w14:textId="77777777" w:rsidR="00D02445" w:rsidRPr="00D17109" w:rsidRDefault="00D02445" w:rsidP="00A015A0">
                  <w:pPr>
                    <w:jc w:val="center"/>
                    <w:rPr>
                      <w:rFonts w:cstheme="minorHAnsi"/>
                      <w:b/>
                    </w:rPr>
                  </w:pPr>
                  <w:r w:rsidRPr="00D17109">
                    <w:rPr>
                      <w:rFonts w:cstheme="minorHAnsi"/>
                      <w:b/>
                    </w:rPr>
                    <w:t>Phonics – YR 2</w:t>
                  </w:r>
                </w:p>
              </w:tc>
              <w:tc>
                <w:tcPr>
                  <w:tcW w:w="1752" w:type="dxa"/>
                  <w:shd w:val="clear" w:color="auto" w:fill="CCC0D9" w:themeFill="accent4" w:themeFillTint="66"/>
                </w:tcPr>
                <w:p w14:paraId="5206A0B6" w14:textId="67E51514" w:rsidR="00D02445" w:rsidRPr="00D17109" w:rsidRDefault="00D02445" w:rsidP="00A015A0">
                  <w:pPr>
                    <w:jc w:val="center"/>
                    <w:rPr>
                      <w:rFonts w:cstheme="minorHAnsi"/>
                      <w:b/>
                    </w:rPr>
                  </w:pPr>
                  <w:r>
                    <w:rPr>
                      <w:rFonts w:cstheme="minorHAnsi"/>
                      <w:b/>
                    </w:rPr>
                    <w:t xml:space="preserve">2022 </w:t>
                  </w:r>
                </w:p>
              </w:tc>
              <w:tc>
                <w:tcPr>
                  <w:tcW w:w="1748" w:type="dxa"/>
                  <w:shd w:val="clear" w:color="auto" w:fill="CCC0D9" w:themeFill="accent4" w:themeFillTint="66"/>
                </w:tcPr>
                <w:p w14:paraId="73E040C3" w14:textId="6FE1EADD" w:rsidR="00D02445" w:rsidRPr="00D17109" w:rsidRDefault="00D02445" w:rsidP="00A015A0">
                  <w:pPr>
                    <w:jc w:val="center"/>
                    <w:rPr>
                      <w:rFonts w:cstheme="minorHAnsi"/>
                      <w:b/>
                    </w:rPr>
                  </w:pPr>
                  <w:r>
                    <w:rPr>
                      <w:rFonts w:cstheme="minorHAnsi"/>
                      <w:b/>
                    </w:rPr>
                    <w:t>2019</w:t>
                  </w:r>
                </w:p>
              </w:tc>
            </w:tr>
            <w:tr w:rsidR="00D02445" w:rsidRPr="00D17109" w14:paraId="7A00F7AD" w14:textId="7D216B1A" w:rsidTr="00D02445">
              <w:trPr>
                <w:trHeight w:val="679"/>
              </w:trPr>
              <w:tc>
                <w:tcPr>
                  <w:tcW w:w="2491" w:type="dxa"/>
                </w:tcPr>
                <w:p w14:paraId="1AB4F487" w14:textId="77777777" w:rsidR="00D02445" w:rsidRPr="00D17109" w:rsidRDefault="00D02445" w:rsidP="00A015A0">
                  <w:pPr>
                    <w:rPr>
                      <w:rFonts w:cstheme="minorHAnsi"/>
                      <w:b/>
                    </w:rPr>
                  </w:pPr>
                  <w:r>
                    <w:rPr>
                      <w:rStyle w:val="normaltextrun"/>
                      <w:rFonts w:cs="Calibri"/>
                    </w:rPr>
                    <w:t>Disadvantaged Pass</w:t>
                  </w:r>
                  <w:r>
                    <w:rPr>
                      <w:rStyle w:val="eop"/>
                      <w:rFonts w:cs="Calibri"/>
                    </w:rPr>
                    <w:t> </w:t>
                  </w:r>
                </w:p>
              </w:tc>
              <w:tc>
                <w:tcPr>
                  <w:tcW w:w="1752" w:type="dxa"/>
                </w:tcPr>
                <w:p w14:paraId="2B15AFAB" w14:textId="6C9632CC" w:rsidR="00D02445" w:rsidRPr="00D17109" w:rsidRDefault="00D02445" w:rsidP="00A015A0">
                  <w:pPr>
                    <w:jc w:val="center"/>
                    <w:rPr>
                      <w:b/>
                      <w:bCs/>
                    </w:rPr>
                  </w:pPr>
                  <w:r>
                    <w:rPr>
                      <w:rStyle w:val="normaltextrun"/>
                      <w:rFonts w:cs="Calibri"/>
                    </w:rPr>
                    <w:t>75% (3/4)</w:t>
                  </w:r>
                  <w:r>
                    <w:rPr>
                      <w:rStyle w:val="eop"/>
                      <w:rFonts w:cs="Calibri"/>
                    </w:rPr>
                    <w:t> </w:t>
                  </w:r>
                </w:p>
              </w:tc>
              <w:tc>
                <w:tcPr>
                  <w:tcW w:w="1748" w:type="dxa"/>
                </w:tcPr>
                <w:p w14:paraId="0616C4CD" w14:textId="33F672AE" w:rsidR="00D02445" w:rsidRDefault="00D02445" w:rsidP="00A015A0">
                  <w:pPr>
                    <w:jc w:val="center"/>
                    <w:rPr>
                      <w:rStyle w:val="normaltextrun"/>
                      <w:rFonts w:cs="Calibri"/>
                    </w:rPr>
                  </w:pPr>
                  <w:r>
                    <w:rPr>
                      <w:rStyle w:val="normaltextrun"/>
                      <w:rFonts w:cs="Calibri"/>
                    </w:rPr>
                    <w:t>100% (3/3)</w:t>
                  </w:r>
                </w:p>
              </w:tc>
            </w:tr>
          </w:tbl>
          <w:p w14:paraId="2B12F268" w14:textId="77777777" w:rsidR="009F498C" w:rsidRDefault="009F498C" w:rsidP="007F30F5">
            <w:pPr>
              <w:autoSpaceDN/>
              <w:spacing w:before="120"/>
              <w:rPr>
                <w:rFonts w:cs="Arial"/>
                <w:color w:val="auto"/>
                <w:lang w:eastAsia="en-US"/>
              </w:rPr>
            </w:pPr>
          </w:p>
          <w:p w14:paraId="4CB56CD5" w14:textId="77777777" w:rsidR="00A015A0" w:rsidRDefault="00A015A0" w:rsidP="00560B99">
            <w:pPr>
              <w:suppressAutoHyphens w:val="0"/>
              <w:autoSpaceDN/>
              <w:spacing w:before="120"/>
              <w:rPr>
                <w:color w:val="auto"/>
                <w:sz w:val="22"/>
                <w:szCs w:val="22"/>
                <w:lang w:eastAsia="en-US"/>
              </w:rPr>
            </w:pPr>
          </w:p>
          <w:p w14:paraId="5CF8A7B5" w14:textId="77777777" w:rsidR="00A015A0" w:rsidRDefault="00A015A0" w:rsidP="00560B99">
            <w:pPr>
              <w:suppressAutoHyphens w:val="0"/>
              <w:autoSpaceDN/>
              <w:spacing w:before="120"/>
              <w:rPr>
                <w:color w:val="auto"/>
                <w:sz w:val="22"/>
                <w:szCs w:val="22"/>
                <w:lang w:eastAsia="en-US"/>
              </w:rPr>
            </w:pPr>
          </w:p>
          <w:p w14:paraId="4D0EBF2E" w14:textId="77777777" w:rsidR="00A015A0" w:rsidRDefault="00A015A0" w:rsidP="00560B99">
            <w:pPr>
              <w:suppressAutoHyphens w:val="0"/>
              <w:autoSpaceDN/>
              <w:spacing w:before="120"/>
              <w:rPr>
                <w:color w:val="auto"/>
                <w:sz w:val="22"/>
                <w:szCs w:val="22"/>
                <w:lang w:eastAsia="en-US"/>
              </w:rPr>
            </w:pPr>
          </w:p>
          <w:p w14:paraId="441BCFC4" w14:textId="77777777" w:rsidR="00A015A0" w:rsidRDefault="00A015A0" w:rsidP="00560B99">
            <w:pPr>
              <w:suppressAutoHyphens w:val="0"/>
              <w:autoSpaceDN/>
              <w:spacing w:before="120"/>
              <w:rPr>
                <w:color w:val="auto"/>
                <w:sz w:val="22"/>
                <w:szCs w:val="22"/>
                <w:lang w:eastAsia="en-US"/>
              </w:rPr>
            </w:pPr>
          </w:p>
          <w:p w14:paraId="4A570679" w14:textId="71DE4467" w:rsidR="00F76A4E" w:rsidRDefault="00F76A4E" w:rsidP="00560B99">
            <w:pPr>
              <w:suppressAutoHyphens w:val="0"/>
              <w:autoSpaceDN/>
              <w:spacing w:before="120"/>
              <w:rPr>
                <w:color w:val="auto"/>
                <w:sz w:val="22"/>
                <w:szCs w:val="22"/>
                <w:lang w:eastAsia="en-US"/>
              </w:rPr>
            </w:pPr>
            <w:r>
              <w:rPr>
                <w:color w:val="auto"/>
                <w:sz w:val="22"/>
                <w:szCs w:val="22"/>
                <w:lang w:eastAsia="en-US"/>
              </w:rPr>
              <w:t xml:space="preserve">Outcomes in phonics data show that as a percentage, the outcomes for disadvantaged pupils was extremely positive with the majority (if not all) pupils passing the screener in both Year 1 and Year 2. The phonics data for 2022 for Year 1 does show a decline, meaning that the 4 children who did not pass in Year 1, will need to be heavily targeted in Year 2. </w:t>
            </w:r>
            <w:r w:rsidR="004B73E7">
              <w:rPr>
                <w:color w:val="auto"/>
                <w:sz w:val="22"/>
                <w:szCs w:val="22"/>
                <w:lang w:eastAsia="en-US"/>
              </w:rPr>
              <w:t xml:space="preserve">Disadvantaged pupils who did not meet the standard in phonics are targeted heavily to ensure they are building up confidence as well as additional targeted intervention. </w:t>
            </w:r>
          </w:p>
          <w:p w14:paraId="1427E141" w14:textId="2F57930B" w:rsidR="00A015A0" w:rsidRDefault="00A015A0" w:rsidP="00560B99">
            <w:pPr>
              <w:suppressAutoHyphens w:val="0"/>
              <w:autoSpaceDN/>
              <w:spacing w:before="120"/>
              <w:rPr>
                <w:color w:val="auto"/>
                <w:sz w:val="22"/>
                <w:szCs w:val="22"/>
                <w:lang w:eastAsia="en-US"/>
              </w:rPr>
            </w:pPr>
            <w:r>
              <w:rPr>
                <w:color w:val="auto"/>
                <w:sz w:val="22"/>
                <w:szCs w:val="22"/>
                <w:lang w:eastAsia="en-US"/>
              </w:rPr>
              <w:t>Early Years Data:</w:t>
            </w:r>
          </w:p>
          <w:tbl>
            <w:tblPr>
              <w:tblStyle w:val="TableGrid"/>
              <w:tblpPr w:leftFromText="180" w:rightFromText="180" w:vertAnchor="page" w:horzAnchor="margin" w:tblpY="5734"/>
              <w:tblOverlap w:val="never"/>
              <w:tblW w:w="5825" w:type="dxa"/>
              <w:tblLook w:val="04A0" w:firstRow="1" w:lastRow="0" w:firstColumn="1" w:lastColumn="0" w:noHBand="0" w:noVBand="1"/>
            </w:tblPr>
            <w:tblGrid>
              <w:gridCol w:w="2399"/>
              <w:gridCol w:w="1713"/>
              <w:gridCol w:w="1713"/>
            </w:tblGrid>
            <w:tr w:rsidR="00F76A4E" w:rsidRPr="00D17109" w14:paraId="093E7545" w14:textId="77777777" w:rsidTr="00F76A4E">
              <w:tc>
                <w:tcPr>
                  <w:tcW w:w="2399" w:type="dxa"/>
                  <w:shd w:val="clear" w:color="auto" w:fill="CCC0D9" w:themeFill="accent4" w:themeFillTint="66"/>
                </w:tcPr>
                <w:p w14:paraId="3A7066F7" w14:textId="32067696" w:rsidR="00F76A4E" w:rsidRPr="00D17109" w:rsidRDefault="00F76A4E" w:rsidP="00F76A4E">
                  <w:pPr>
                    <w:jc w:val="center"/>
                    <w:rPr>
                      <w:rFonts w:cstheme="minorHAnsi"/>
                      <w:b/>
                    </w:rPr>
                  </w:pPr>
                  <w:r>
                    <w:rPr>
                      <w:rFonts w:cstheme="minorHAnsi"/>
                      <w:b/>
                    </w:rPr>
                    <w:t>E</w:t>
                  </w:r>
                  <w:r w:rsidRPr="00D17109">
                    <w:rPr>
                      <w:rFonts w:cstheme="minorHAnsi"/>
                      <w:b/>
                    </w:rPr>
                    <w:t>YFS GLD</w:t>
                  </w:r>
                </w:p>
              </w:tc>
              <w:tc>
                <w:tcPr>
                  <w:tcW w:w="1713" w:type="dxa"/>
                  <w:shd w:val="clear" w:color="auto" w:fill="CCC0D9" w:themeFill="accent4" w:themeFillTint="66"/>
                </w:tcPr>
                <w:p w14:paraId="052AE175" w14:textId="77777777" w:rsidR="00F76A4E" w:rsidRPr="00D17109" w:rsidRDefault="00F76A4E" w:rsidP="00F76A4E">
                  <w:pPr>
                    <w:jc w:val="center"/>
                    <w:rPr>
                      <w:rFonts w:cstheme="minorHAnsi"/>
                      <w:b/>
                    </w:rPr>
                  </w:pPr>
                  <w:r>
                    <w:rPr>
                      <w:rFonts w:cstheme="minorHAnsi"/>
                      <w:b/>
                    </w:rPr>
                    <w:t>2022</w:t>
                  </w:r>
                </w:p>
              </w:tc>
              <w:tc>
                <w:tcPr>
                  <w:tcW w:w="1713" w:type="dxa"/>
                  <w:shd w:val="clear" w:color="auto" w:fill="CCC0D9" w:themeFill="accent4" w:themeFillTint="66"/>
                </w:tcPr>
                <w:p w14:paraId="5918032B" w14:textId="77777777" w:rsidR="00F76A4E" w:rsidRDefault="00F76A4E" w:rsidP="00F76A4E">
                  <w:pPr>
                    <w:jc w:val="center"/>
                    <w:rPr>
                      <w:rFonts w:cstheme="minorHAnsi"/>
                      <w:b/>
                    </w:rPr>
                  </w:pPr>
                  <w:r>
                    <w:rPr>
                      <w:rFonts w:cstheme="minorHAnsi"/>
                      <w:b/>
                    </w:rPr>
                    <w:t>2019</w:t>
                  </w:r>
                </w:p>
              </w:tc>
            </w:tr>
            <w:tr w:rsidR="00F76A4E" w:rsidRPr="00D17109" w14:paraId="5F5354A6" w14:textId="77777777" w:rsidTr="00F76A4E">
              <w:tc>
                <w:tcPr>
                  <w:tcW w:w="2399" w:type="dxa"/>
                </w:tcPr>
                <w:p w14:paraId="3C259A14" w14:textId="77777777" w:rsidR="00F76A4E" w:rsidRPr="00D17109" w:rsidRDefault="00F76A4E" w:rsidP="00F76A4E">
                  <w:pPr>
                    <w:rPr>
                      <w:rFonts w:cstheme="minorHAnsi"/>
                      <w:b/>
                    </w:rPr>
                  </w:pPr>
                  <w:r>
                    <w:rPr>
                      <w:rFonts w:cstheme="minorHAnsi"/>
                      <w:b/>
                    </w:rPr>
                    <w:t xml:space="preserve">Disadvantaged GLD </w:t>
                  </w:r>
                </w:p>
              </w:tc>
              <w:tc>
                <w:tcPr>
                  <w:tcW w:w="1713" w:type="dxa"/>
                </w:tcPr>
                <w:p w14:paraId="0994CC15" w14:textId="77777777" w:rsidR="00F76A4E" w:rsidRPr="00D17109" w:rsidRDefault="00F76A4E" w:rsidP="00F76A4E">
                  <w:pPr>
                    <w:jc w:val="center"/>
                    <w:rPr>
                      <w:b/>
                      <w:bCs/>
                    </w:rPr>
                  </w:pPr>
                  <w:r>
                    <w:rPr>
                      <w:b/>
                      <w:bCs/>
                    </w:rPr>
                    <w:t>75% (3/4 children)</w:t>
                  </w:r>
                </w:p>
              </w:tc>
              <w:tc>
                <w:tcPr>
                  <w:tcW w:w="1713" w:type="dxa"/>
                </w:tcPr>
                <w:p w14:paraId="2C65FACD" w14:textId="77777777" w:rsidR="00F76A4E" w:rsidRDefault="00F76A4E" w:rsidP="00F76A4E">
                  <w:pPr>
                    <w:jc w:val="center"/>
                    <w:rPr>
                      <w:b/>
                      <w:bCs/>
                    </w:rPr>
                  </w:pPr>
                  <w:r>
                    <w:rPr>
                      <w:b/>
                      <w:bCs/>
                    </w:rPr>
                    <w:t>88% (7/8)</w:t>
                  </w:r>
                </w:p>
              </w:tc>
            </w:tr>
          </w:tbl>
          <w:p w14:paraId="151297DA" w14:textId="0558399A" w:rsidR="00A015A0" w:rsidRDefault="00A015A0" w:rsidP="00A457E4">
            <w:pPr>
              <w:suppressAutoHyphens w:val="0"/>
              <w:autoSpaceDN/>
              <w:spacing w:before="120"/>
              <w:rPr>
                <w:color w:val="auto"/>
                <w:sz w:val="22"/>
                <w:lang w:eastAsia="en-US"/>
              </w:rPr>
            </w:pPr>
          </w:p>
          <w:p w14:paraId="0FEA7998" w14:textId="73665BF8" w:rsidR="00A015A0" w:rsidRDefault="00A015A0" w:rsidP="00A457E4">
            <w:pPr>
              <w:suppressAutoHyphens w:val="0"/>
              <w:autoSpaceDN/>
              <w:spacing w:before="120"/>
              <w:rPr>
                <w:color w:val="auto"/>
                <w:sz w:val="22"/>
                <w:lang w:eastAsia="en-US"/>
              </w:rPr>
            </w:pPr>
          </w:p>
          <w:p w14:paraId="38E325BE" w14:textId="7D2BAC2F" w:rsidR="00F76A4E" w:rsidRDefault="00F76A4E" w:rsidP="00A457E4">
            <w:pPr>
              <w:suppressAutoHyphens w:val="0"/>
              <w:autoSpaceDN/>
              <w:spacing w:before="120"/>
              <w:rPr>
                <w:color w:val="auto"/>
                <w:sz w:val="22"/>
                <w:lang w:eastAsia="en-US"/>
              </w:rPr>
            </w:pPr>
          </w:p>
          <w:p w14:paraId="4DE01239" w14:textId="76DD2E72" w:rsidR="00F76A4E" w:rsidRDefault="00F76A4E" w:rsidP="00A457E4">
            <w:pPr>
              <w:suppressAutoHyphens w:val="0"/>
              <w:autoSpaceDN/>
              <w:rPr>
                <w:color w:val="auto"/>
                <w:sz w:val="22"/>
                <w:lang w:eastAsia="en-US"/>
              </w:rPr>
            </w:pPr>
          </w:p>
          <w:p w14:paraId="1E4BD1D6" w14:textId="38FB85E8" w:rsidR="008207FC" w:rsidRDefault="008207FC" w:rsidP="00A457E4">
            <w:pPr>
              <w:suppressAutoHyphens w:val="0"/>
              <w:autoSpaceDN/>
              <w:rPr>
                <w:color w:val="auto"/>
                <w:sz w:val="22"/>
                <w:lang w:eastAsia="en-US"/>
              </w:rPr>
            </w:pPr>
            <w:r>
              <w:rPr>
                <w:color w:val="auto"/>
                <w:sz w:val="22"/>
                <w:lang w:eastAsia="en-US"/>
              </w:rPr>
              <w:t>Outcomes in GLD for our disadvantaged show a positive attainment trend from 2019 to 2022. Although the percentage decreased</w:t>
            </w:r>
            <w:r w:rsidR="00D9733F">
              <w:rPr>
                <w:color w:val="auto"/>
                <w:sz w:val="22"/>
                <w:lang w:eastAsia="en-US"/>
              </w:rPr>
              <w:t xml:space="preserve"> in 2022</w:t>
            </w:r>
            <w:r>
              <w:rPr>
                <w:color w:val="auto"/>
                <w:sz w:val="22"/>
                <w:lang w:eastAsia="en-US"/>
              </w:rPr>
              <w:t xml:space="preserve">, there were </w:t>
            </w:r>
            <w:proofErr w:type="gramStart"/>
            <w:r>
              <w:rPr>
                <w:color w:val="auto"/>
                <w:sz w:val="22"/>
                <w:lang w:eastAsia="en-US"/>
              </w:rPr>
              <w:t>less</w:t>
            </w:r>
            <w:proofErr w:type="gramEnd"/>
            <w:r>
              <w:rPr>
                <w:color w:val="auto"/>
                <w:sz w:val="22"/>
                <w:lang w:eastAsia="en-US"/>
              </w:rPr>
              <w:t xml:space="preserve"> disadvantaged pupils in the cohort, meaning that each child represent</w:t>
            </w:r>
            <w:r w:rsidR="00D9733F">
              <w:rPr>
                <w:color w:val="auto"/>
                <w:sz w:val="22"/>
                <w:lang w:eastAsia="en-US"/>
              </w:rPr>
              <w:t>ed</w:t>
            </w:r>
            <w:r>
              <w:rPr>
                <w:color w:val="auto"/>
                <w:sz w:val="22"/>
                <w:lang w:eastAsia="en-US"/>
              </w:rPr>
              <w:t xml:space="preserve"> a higher individual percentage. Targeted intervention and QFT will be required for the one child who didn’t reach GLD to ensure that the gap between peers is closed</w:t>
            </w:r>
            <w:r w:rsidR="00D9733F">
              <w:rPr>
                <w:color w:val="auto"/>
                <w:sz w:val="22"/>
                <w:lang w:eastAsia="en-US"/>
              </w:rPr>
              <w:t xml:space="preserve"> in KS1. </w:t>
            </w:r>
          </w:p>
          <w:p w14:paraId="01C53D7A" w14:textId="52C0EA0F" w:rsidR="00A457E4" w:rsidRPr="006421B3" w:rsidRDefault="006421B3" w:rsidP="00A457E4">
            <w:pPr>
              <w:suppressAutoHyphens w:val="0"/>
              <w:autoSpaceDN/>
              <w:rPr>
                <w:color w:val="auto"/>
                <w:sz w:val="22"/>
                <w:lang w:eastAsia="en-US"/>
              </w:rPr>
            </w:pPr>
            <w:r>
              <w:rPr>
                <w:color w:val="auto"/>
                <w:sz w:val="22"/>
                <w:lang w:eastAsia="en-US"/>
              </w:rPr>
              <w:t xml:space="preserve">Although the attendance and persistent absence gap between PP and </w:t>
            </w:r>
            <w:r w:rsidR="009C1765">
              <w:rPr>
                <w:color w:val="auto"/>
                <w:sz w:val="22"/>
                <w:lang w:eastAsia="en-US"/>
              </w:rPr>
              <w:t>non-PP</w:t>
            </w:r>
            <w:r>
              <w:rPr>
                <w:color w:val="auto"/>
                <w:sz w:val="22"/>
                <w:lang w:eastAsia="en-US"/>
              </w:rPr>
              <w:t xml:space="preserve"> pupils last year was quite significant (as mentioned previously)</w:t>
            </w:r>
            <w:r w:rsidR="009C1765">
              <w:rPr>
                <w:color w:val="auto"/>
                <w:sz w:val="22"/>
                <w:lang w:eastAsia="en-US"/>
              </w:rPr>
              <w:t xml:space="preserve">. These </w:t>
            </w:r>
            <w:r w:rsidR="00A457E4" w:rsidRPr="006421B3">
              <w:rPr>
                <w:color w:val="auto"/>
                <w:sz w:val="22"/>
                <w:lang w:eastAsia="en-US"/>
              </w:rPr>
              <w:t xml:space="preserve">gaps are larger than in previous years, which is why attendance is a focus of our current plan.     </w:t>
            </w:r>
          </w:p>
          <w:p w14:paraId="5CC0A20A" w14:textId="45C35DA4" w:rsidR="00A457E4" w:rsidRDefault="00A457E4" w:rsidP="00A457E4">
            <w:pPr>
              <w:rPr>
                <w:color w:val="auto"/>
                <w:sz w:val="22"/>
                <w:highlight w:val="yellow"/>
                <w:lang w:eastAsia="en-US"/>
              </w:rPr>
            </w:pPr>
            <w:r w:rsidRPr="006421B3">
              <w:rPr>
                <w:color w:val="auto"/>
                <w:sz w:val="22"/>
                <w:lang w:eastAsia="en-US"/>
              </w:rPr>
              <w:t xml:space="preserve">Our assessments and observations </w:t>
            </w:r>
            <w:r w:rsidR="00A015A0">
              <w:rPr>
                <w:color w:val="auto"/>
                <w:sz w:val="22"/>
                <w:lang w:eastAsia="en-US"/>
              </w:rPr>
              <w:t xml:space="preserve">(including the gathering of pupil voice), </w:t>
            </w:r>
            <w:r w:rsidRPr="006421B3">
              <w:rPr>
                <w:color w:val="auto"/>
                <w:sz w:val="22"/>
                <w:lang w:eastAsia="en-US"/>
              </w:rPr>
              <w:t xml:space="preserve">indicated that pupil behaviour, wellbeing and mental health were significantly impacted last year, primarily due to </w:t>
            </w:r>
            <w:r w:rsidR="00A015A0">
              <w:rPr>
                <w:color w:val="auto"/>
                <w:sz w:val="22"/>
                <w:lang w:eastAsia="en-US"/>
              </w:rPr>
              <w:t xml:space="preserve">the impact of </w:t>
            </w:r>
            <w:r w:rsidRPr="006421B3">
              <w:rPr>
                <w:color w:val="auto"/>
                <w:sz w:val="22"/>
                <w:lang w:eastAsia="en-US"/>
              </w:rPr>
              <w:t>COVID-19</w:t>
            </w:r>
            <w:r w:rsidR="00A015A0">
              <w:rPr>
                <w:color w:val="auto"/>
                <w:sz w:val="22"/>
                <w:lang w:eastAsia="en-US"/>
              </w:rPr>
              <w:t xml:space="preserve"> and a prolonged period of time at home. T</w:t>
            </w:r>
            <w:r w:rsidRPr="006421B3">
              <w:rPr>
                <w:color w:val="auto"/>
                <w:sz w:val="22"/>
                <w:lang w:eastAsia="en-US"/>
              </w:rPr>
              <w:t xml:space="preserve">he impact was particularly acute for disadvantaged pupils. </w:t>
            </w:r>
            <w:r w:rsidR="002F6576" w:rsidRPr="006421B3">
              <w:rPr>
                <w:color w:val="auto"/>
                <w:sz w:val="22"/>
                <w:lang w:eastAsia="en-US"/>
              </w:rPr>
              <w:t>Although offering our disadvantaged pupils was a challenge in the 202</w:t>
            </w:r>
            <w:r w:rsidR="00A015A0">
              <w:rPr>
                <w:color w:val="auto"/>
                <w:sz w:val="22"/>
                <w:lang w:eastAsia="en-US"/>
              </w:rPr>
              <w:t>1</w:t>
            </w:r>
            <w:r w:rsidR="002F6576" w:rsidRPr="006421B3">
              <w:rPr>
                <w:color w:val="auto"/>
                <w:sz w:val="22"/>
                <w:lang w:eastAsia="en-US"/>
              </w:rPr>
              <w:t>/2</w:t>
            </w:r>
            <w:r w:rsidR="00A015A0">
              <w:rPr>
                <w:color w:val="auto"/>
                <w:sz w:val="22"/>
                <w:lang w:eastAsia="en-US"/>
              </w:rPr>
              <w:t>2</w:t>
            </w:r>
            <w:r w:rsidR="002F6576" w:rsidRPr="006421B3">
              <w:rPr>
                <w:color w:val="auto"/>
                <w:sz w:val="22"/>
                <w:lang w:eastAsia="en-US"/>
              </w:rPr>
              <w:t xml:space="preserve"> year, w</w:t>
            </w:r>
            <w:r w:rsidRPr="006421B3">
              <w:rPr>
                <w:color w:val="auto"/>
                <w:sz w:val="22"/>
                <w:lang w:eastAsia="en-US"/>
              </w:rPr>
              <w:t xml:space="preserve">e used pupil premium funding to provide wellbeing support for all pupils, and targeted interventions where required. </w:t>
            </w:r>
            <w:r w:rsidR="002F6576" w:rsidRPr="006421B3">
              <w:rPr>
                <w:color w:val="auto"/>
                <w:sz w:val="22"/>
                <w:lang w:eastAsia="en-US"/>
              </w:rPr>
              <w:t>We were also able to support our pupils</w:t>
            </w:r>
            <w:r w:rsidR="00A015A0">
              <w:rPr>
                <w:color w:val="auto"/>
                <w:sz w:val="22"/>
                <w:lang w:eastAsia="en-US"/>
              </w:rPr>
              <w:t xml:space="preserve"> through extra-curricular offers, access to the wellbeing team and are provided with opportunities to share how they feel. </w:t>
            </w:r>
            <w:r w:rsidR="00A015A0" w:rsidRPr="00F76A4E">
              <w:rPr>
                <w:color w:val="auto"/>
                <w:sz w:val="22"/>
                <w:lang w:eastAsia="en-US"/>
              </w:rPr>
              <w:t>Pupil questionnaires show tha</w:t>
            </w:r>
            <w:r w:rsidR="00E71E97" w:rsidRPr="00F76A4E">
              <w:rPr>
                <w:color w:val="auto"/>
                <w:sz w:val="22"/>
                <w:lang w:eastAsia="en-US"/>
              </w:rPr>
              <w:t xml:space="preserve">t in KS2 the </w:t>
            </w:r>
            <w:r w:rsidR="004C5F79" w:rsidRPr="00F76A4E">
              <w:rPr>
                <w:color w:val="auto"/>
                <w:sz w:val="22"/>
                <w:lang w:eastAsia="en-US"/>
              </w:rPr>
              <w:t xml:space="preserve">main areas of </w:t>
            </w:r>
            <w:r w:rsidR="00F76A4E" w:rsidRPr="00F76A4E">
              <w:rPr>
                <w:color w:val="auto"/>
                <w:sz w:val="22"/>
                <w:lang w:eastAsia="en-US"/>
              </w:rPr>
              <w:t>concern</w:t>
            </w:r>
            <w:r w:rsidR="00E71E97" w:rsidRPr="00F76A4E">
              <w:rPr>
                <w:color w:val="auto"/>
                <w:sz w:val="22"/>
                <w:lang w:eastAsia="en-US"/>
              </w:rPr>
              <w:t xml:space="preserve"> were around sleep and lack of breakfast and in KS1 it was concerns about difficulty of work</w:t>
            </w:r>
            <w:r w:rsidR="00F76A4E">
              <w:rPr>
                <w:color w:val="auto"/>
                <w:sz w:val="22"/>
                <w:lang w:eastAsia="en-US"/>
              </w:rPr>
              <w:t xml:space="preserve"> with regards to the transition to each year group. </w:t>
            </w:r>
          </w:p>
          <w:p w14:paraId="78EC7948" w14:textId="2E00D0D3" w:rsidR="00A015A0" w:rsidRDefault="00A015A0" w:rsidP="00A015A0">
            <w:pPr>
              <w:suppressAutoHyphens w:val="0"/>
              <w:autoSpaceDN/>
              <w:spacing w:before="120"/>
              <w:rPr>
                <w:color w:val="auto"/>
                <w:sz w:val="22"/>
                <w:szCs w:val="22"/>
              </w:rPr>
            </w:pPr>
            <w:r w:rsidRPr="0063177F">
              <w:rPr>
                <w:color w:val="auto"/>
                <w:sz w:val="22"/>
                <w:szCs w:val="22"/>
              </w:rPr>
              <w:t xml:space="preserve">Our observations and assessments demonstrated that </w:t>
            </w:r>
            <w:r w:rsidR="00F76A4E">
              <w:rPr>
                <w:color w:val="auto"/>
                <w:sz w:val="22"/>
                <w:szCs w:val="22"/>
              </w:rPr>
              <w:t xml:space="preserve">some </w:t>
            </w:r>
            <w:r w:rsidRPr="0063177F">
              <w:rPr>
                <w:color w:val="auto"/>
                <w:sz w:val="22"/>
                <w:szCs w:val="22"/>
              </w:rPr>
              <w:t xml:space="preserve">pupil behaviour </w:t>
            </w:r>
            <w:r>
              <w:rPr>
                <w:color w:val="auto"/>
                <w:sz w:val="22"/>
                <w:szCs w:val="22"/>
              </w:rPr>
              <w:t xml:space="preserve">is an area to focus on and </w:t>
            </w:r>
            <w:r w:rsidRPr="0063177F">
              <w:rPr>
                <w:color w:val="auto"/>
                <w:sz w:val="22"/>
                <w:szCs w:val="22"/>
              </w:rPr>
              <w:t xml:space="preserve">challenges in relation to wellbeing and mental health remain significantly higher than before the pandemic. The impact on disadvantaged pupils has been particularly acute. </w:t>
            </w:r>
          </w:p>
          <w:p w14:paraId="22F5C0B6" w14:textId="71360529" w:rsidR="00A015A0" w:rsidRDefault="00A015A0" w:rsidP="00A015A0">
            <w:pPr>
              <w:suppressAutoHyphens w:val="0"/>
              <w:autoSpaceDN/>
              <w:spacing w:before="120"/>
              <w:rPr>
                <w:color w:val="auto"/>
                <w:sz w:val="22"/>
                <w:szCs w:val="22"/>
              </w:rPr>
            </w:pPr>
            <w:r w:rsidRPr="00F76A4E">
              <w:rPr>
                <w:color w:val="auto"/>
                <w:sz w:val="22"/>
                <w:szCs w:val="22"/>
              </w:rPr>
              <w:t xml:space="preserve">These results and our analysis mean that we have made progress on our strategy targets for the academic year 21/22 and if we continue to make progress and </w:t>
            </w:r>
            <w:r w:rsidR="00F76A4E" w:rsidRPr="00F76A4E">
              <w:rPr>
                <w:color w:val="auto"/>
                <w:sz w:val="22"/>
                <w:szCs w:val="22"/>
              </w:rPr>
              <w:t xml:space="preserve">it </w:t>
            </w:r>
            <w:r w:rsidRPr="00F76A4E">
              <w:rPr>
                <w:color w:val="auto"/>
                <w:sz w:val="22"/>
                <w:szCs w:val="22"/>
              </w:rPr>
              <w:t>impact</w:t>
            </w:r>
            <w:r w:rsidR="00F76A4E" w:rsidRPr="00F76A4E">
              <w:rPr>
                <w:color w:val="auto"/>
                <w:sz w:val="22"/>
                <w:szCs w:val="22"/>
              </w:rPr>
              <w:t xml:space="preserve">s </w:t>
            </w:r>
            <w:r w:rsidRPr="00F76A4E">
              <w:rPr>
                <w:color w:val="auto"/>
                <w:sz w:val="22"/>
                <w:szCs w:val="22"/>
              </w:rPr>
              <w:t>on disadvantage pupils</w:t>
            </w:r>
            <w:r w:rsidR="00F76A4E" w:rsidRPr="00F76A4E">
              <w:rPr>
                <w:color w:val="auto"/>
                <w:sz w:val="22"/>
                <w:szCs w:val="22"/>
              </w:rPr>
              <w:t>’</w:t>
            </w:r>
            <w:r w:rsidRPr="00F76A4E">
              <w:rPr>
                <w:color w:val="auto"/>
                <w:sz w:val="22"/>
                <w:szCs w:val="22"/>
              </w:rPr>
              <w:t xml:space="preserve"> progress and attainment</w:t>
            </w:r>
            <w:r w:rsidR="00F76A4E" w:rsidRPr="00F76A4E">
              <w:rPr>
                <w:color w:val="auto"/>
                <w:sz w:val="22"/>
                <w:szCs w:val="22"/>
              </w:rPr>
              <w:t>,</w:t>
            </w:r>
            <w:r w:rsidRPr="00F76A4E">
              <w:rPr>
                <w:color w:val="auto"/>
                <w:sz w:val="22"/>
                <w:szCs w:val="22"/>
              </w:rPr>
              <w:t xml:space="preserve"> we will be on course to achieve the outcomes that we set out to achieve by 2024/25, as stated in the Intended Outcomes section above. We have reviewed our strategy plan and made changes to how we intend to use some of our budget this academic year differently to target new areas of focus such as </w:t>
            </w:r>
            <w:r w:rsidR="00F76A4E" w:rsidRPr="00F76A4E">
              <w:rPr>
                <w:color w:val="auto"/>
                <w:sz w:val="22"/>
                <w:szCs w:val="22"/>
              </w:rPr>
              <w:t xml:space="preserve">reading, writing and </w:t>
            </w:r>
            <w:proofErr w:type="spellStart"/>
            <w:r w:rsidR="00F76A4E" w:rsidRPr="00F76A4E">
              <w:rPr>
                <w:color w:val="auto"/>
                <w:sz w:val="22"/>
                <w:szCs w:val="22"/>
              </w:rPr>
              <w:t>oracy</w:t>
            </w:r>
            <w:proofErr w:type="spellEnd"/>
            <w:r w:rsidR="00F76A4E" w:rsidRPr="00F76A4E">
              <w:rPr>
                <w:color w:val="auto"/>
                <w:sz w:val="22"/>
                <w:szCs w:val="22"/>
              </w:rPr>
              <w:t xml:space="preserve"> </w:t>
            </w:r>
            <w:r w:rsidRPr="00F76A4E">
              <w:rPr>
                <w:color w:val="auto"/>
                <w:sz w:val="22"/>
                <w:szCs w:val="22"/>
              </w:rPr>
              <w:t xml:space="preserve">that have been identified in our School improvement plan. </w:t>
            </w:r>
          </w:p>
          <w:p w14:paraId="2A7D5546" w14:textId="48EEBBD7" w:rsidR="00A015A0" w:rsidRDefault="00A015A0" w:rsidP="00A015A0">
            <w:r w:rsidRPr="002763F2">
              <w:rPr>
                <w:color w:val="000000"/>
                <w:sz w:val="22"/>
                <w:szCs w:val="22"/>
              </w:rPr>
              <w:t>The Further Information section below provides more details about our planning, implementation, and evaluation processes</w:t>
            </w:r>
            <w:r>
              <w:rPr>
                <w:color w:val="000000"/>
                <w:sz w:val="27"/>
                <w:szCs w:val="27"/>
              </w:rPr>
              <w:t>.</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A15711"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A15711" w:rsidRDefault="00A15711" w:rsidP="00A15711">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7E68EF8" w:rsidR="00A15711" w:rsidRPr="00A15711" w:rsidRDefault="00A15711" w:rsidP="00A15711">
            <w:pPr>
              <w:pStyle w:val="TableRowCentered"/>
              <w:jc w:val="left"/>
              <w:rPr>
                <w:sz w:val="22"/>
              </w:rPr>
            </w:pPr>
            <w:r>
              <w:rPr>
                <w:sz w:val="22"/>
              </w:rPr>
              <w:t xml:space="preserve">The emotional wellbeing of our service children was either targeted by class teachers or by 1:1 Teaching Assistants. </w:t>
            </w:r>
          </w:p>
        </w:tc>
      </w:tr>
      <w:tr w:rsidR="00A15711"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A15711" w:rsidRDefault="00A15711" w:rsidP="00A15711">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FBC9FEF" w:rsidR="00A15711" w:rsidRPr="00A15711" w:rsidRDefault="00A15711" w:rsidP="00A15711">
            <w:pPr>
              <w:pStyle w:val="TableRowCentered"/>
              <w:jc w:val="left"/>
              <w:rPr>
                <w:sz w:val="22"/>
              </w:rPr>
            </w:pPr>
            <w:r w:rsidRPr="00A15711">
              <w:rPr>
                <w:color w:val="auto"/>
                <w:sz w:val="22"/>
                <w:szCs w:val="24"/>
              </w:rPr>
              <w:t>Teachers observed improvements in wellbeing amongst service children</w:t>
            </w:r>
            <w:r>
              <w:rPr>
                <w:color w:val="auto"/>
                <w:sz w:val="22"/>
                <w:szCs w:val="24"/>
              </w:rPr>
              <w:t xml:space="preserve">. </w:t>
            </w:r>
          </w:p>
        </w:tc>
      </w:tr>
      <w:bookmarkEnd w:id="18"/>
    </w:tbl>
    <w:p w14:paraId="2A7D555E" w14:textId="77777777" w:rsidR="00E66558" w:rsidRDefault="00E66558"/>
    <w:bookmarkEnd w:id="14"/>
    <w:bookmarkEnd w:id="15"/>
    <w:bookmarkEnd w:id="16"/>
    <w:p w14:paraId="2A7D555F" w14:textId="77777777" w:rsidR="00E66558" w:rsidRDefault="00E66558">
      <w:pPr>
        <w:spacing w:after="0" w:line="240" w:lineRule="auto"/>
      </w:pPr>
    </w:p>
    <w:sectPr w:rsidR="00E66558">
      <w:headerReference w:type="default" r:id="rId23"/>
      <w:footerReference w:type="default" r:id="rId2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A7D8C" w14:textId="77777777" w:rsidR="00E71E97" w:rsidRDefault="00E71E97">
      <w:pPr>
        <w:spacing w:after="0" w:line="240" w:lineRule="auto"/>
      </w:pPr>
      <w:r>
        <w:separator/>
      </w:r>
    </w:p>
  </w:endnote>
  <w:endnote w:type="continuationSeparator" w:id="0">
    <w:p w14:paraId="4AA25669" w14:textId="77777777" w:rsidR="00E71E97" w:rsidRDefault="00E7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E71E97" w:rsidRDefault="00E71E9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E7D7E" w14:textId="77777777" w:rsidR="00E71E97" w:rsidRDefault="00E71E97">
      <w:pPr>
        <w:spacing w:after="0" w:line="240" w:lineRule="auto"/>
      </w:pPr>
      <w:r>
        <w:separator/>
      </w:r>
    </w:p>
  </w:footnote>
  <w:footnote w:type="continuationSeparator" w:id="0">
    <w:p w14:paraId="0104D678" w14:textId="77777777" w:rsidR="00E71E97" w:rsidRDefault="00E71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E71E97" w:rsidRDefault="00E71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B70F75"/>
    <w:multiLevelType w:val="hybridMultilevel"/>
    <w:tmpl w:val="424274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1D5C036B"/>
    <w:multiLevelType w:val="hybridMultilevel"/>
    <w:tmpl w:val="B308A736"/>
    <w:lvl w:ilvl="0" w:tplc="756E7064">
      <w:start w:val="1"/>
      <w:numFmt w:val="bullet"/>
      <w:lvlText w:val=""/>
      <w:lvlJc w:val="left"/>
      <w:pPr>
        <w:ind w:left="720" w:hanging="360"/>
      </w:pPr>
      <w:rPr>
        <w:rFonts w:ascii="Symbol" w:hAnsi="Symbol" w:hint="default"/>
      </w:rPr>
    </w:lvl>
    <w:lvl w:ilvl="1" w:tplc="3C2E3F76">
      <w:start w:val="1"/>
      <w:numFmt w:val="bullet"/>
      <w:lvlText w:val="o"/>
      <w:lvlJc w:val="left"/>
      <w:pPr>
        <w:ind w:left="1440" w:hanging="360"/>
      </w:pPr>
      <w:rPr>
        <w:rFonts w:ascii="Courier New" w:hAnsi="Courier New" w:hint="default"/>
      </w:rPr>
    </w:lvl>
    <w:lvl w:ilvl="2" w:tplc="1F008576">
      <w:start w:val="1"/>
      <w:numFmt w:val="bullet"/>
      <w:lvlText w:val=""/>
      <w:lvlJc w:val="left"/>
      <w:pPr>
        <w:ind w:left="2160" w:hanging="360"/>
      </w:pPr>
      <w:rPr>
        <w:rFonts w:ascii="Wingdings" w:hAnsi="Wingdings" w:hint="default"/>
      </w:rPr>
    </w:lvl>
    <w:lvl w:ilvl="3" w:tplc="95A0A2A6">
      <w:start w:val="1"/>
      <w:numFmt w:val="bullet"/>
      <w:lvlText w:val=""/>
      <w:lvlJc w:val="left"/>
      <w:pPr>
        <w:ind w:left="2880" w:hanging="360"/>
      </w:pPr>
      <w:rPr>
        <w:rFonts w:ascii="Symbol" w:hAnsi="Symbol" w:hint="default"/>
      </w:rPr>
    </w:lvl>
    <w:lvl w:ilvl="4" w:tplc="38DEFBC2">
      <w:start w:val="1"/>
      <w:numFmt w:val="bullet"/>
      <w:lvlText w:val="o"/>
      <w:lvlJc w:val="left"/>
      <w:pPr>
        <w:ind w:left="3600" w:hanging="360"/>
      </w:pPr>
      <w:rPr>
        <w:rFonts w:ascii="Courier New" w:hAnsi="Courier New" w:hint="default"/>
      </w:rPr>
    </w:lvl>
    <w:lvl w:ilvl="5" w:tplc="CAB65A5C">
      <w:start w:val="1"/>
      <w:numFmt w:val="bullet"/>
      <w:lvlText w:val=""/>
      <w:lvlJc w:val="left"/>
      <w:pPr>
        <w:ind w:left="4320" w:hanging="360"/>
      </w:pPr>
      <w:rPr>
        <w:rFonts w:ascii="Wingdings" w:hAnsi="Wingdings" w:hint="default"/>
      </w:rPr>
    </w:lvl>
    <w:lvl w:ilvl="6" w:tplc="11C05960">
      <w:start w:val="1"/>
      <w:numFmt w:val="bullet"/>
      <w:lvlText w:val=""/>
      <w:lvlJc w:val="left"/>
      <w:pPr>
        <w:ind w:left="5040" w:hanging="360"/>
      </w:pPr>
      <w:rPr>
        <w:rFonts w:ascii="Symbol" w:hAnsi="Symbol" w:hint="default"/>
      </w:rPr>
    </w:lvl>
    <w:lvl w:ilvl="7" w:tplc="529E08F0">
      <w:start w:val="1"/>
      <w:numFmt w:val="bullet"/>
      <w:lvlText w:val="o"/>
      <w:lvlJc w:val="left"/>
      <w:pPr>
        <w:ind w:left="5760" w:hanging="360"/>
      </w:pPr>
      <w:rPr>
        <w:rFonts w:ascii="Courier New" w:hAnsi="Courier New" w:hint="default"/>
      </w:rPr>
    </w:lvl>
    <w:lvl w:ilvl="8" w:tplc="5B0AFDDA">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93B7644"/>
    <w:multiLevelType w:val="hybridMultilevel"/>
    <w:tmpl w:val="C2AE2E3E"/>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ABD2779"/>
    <w:multiLevelType w:val="hybridMultilevel"/>
    <w:tmpl w:val="F1DE99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5311FB4"/>
    <w:multiLevelType w:val="hybridMultilevel"/>
    <w:tmpl w:val="E5B84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1E4233"/>
    <w:multiLevelType w:val="hybridMultilevel"/>
    <w:tmpl w:val="C524836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CD57194"/>
    <w:multiLevelType w:val="hybridMultilevel"/>
    <w:tmpl w:val="1666B16E"/>
    <w:lvl w:ilvl="0" w:tplc="584A84E8">
      <w:start w:val="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B33DDD"/>
    <w:multiLevelType w:val="hybridMultilevel"/>
    <w:tmpl w:val="F6B65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30F56DB"/>
    <w:multiLevelType w:val="hybridMultilevel"/>
    <w:tmpl w:val="D1B837C6"/>
    <w:lvl w:ilvl="0" w:tplc="2848BE54">
      <w:start w:val="1"/>
      <w:numFmt w:val="bullet"/>
      <w:lvlText w:val=""/>
      <w:lvlJc w:val="left"/>
      <w:pPr>
        <w:ind w:left="720" w:hanging="360"/>
      </w:pPr>
      <w:rPr>
        <w:rFonts w:ascii="Symbol" w:hAnsi="Symbol" w:hint="default"/>
      </w:rPr>
    </w:lvl>
    <w:lvl w:ilvl="1" w:tplc="27BEEA2E">
      <w:start w:val="1"/>
      <w:numFmt w:val="bullet"/>
      <w:lvlText w:val="o"/>
      <w:lvlJc w:val="left"/>
      <w:pPr>
        <w:ind w:left="1440" w:hanging="360"/>
      </w:pPr>
      <w:rPr>
        <w:rFonts w:ascii="Courier New" w:hAnsi="Courier New" w:hint="default"/>
      </w:rPr>
    </w:lvl>
    <w:lvl w:ilvl="2" w:tplc="6DE0998A">
      <w:start w:val="1"/>
      <w:numFmt w:val="bullet"/>
      <w:lvlText w:val=""/>
      <w:lvlJc w:val="left"/>
      <w:pPr>
        <w:ind w:left="2160" w:hanging="360"/>
      </w:pPr>
      <w:rPr>
        <w:rFonts w:ascii="Wingdings" w:hAnsi="Wingdings" w:hint="default"/>
      </w:rPr>
    </w:lvl>
    <w:lvl w:ilvl="3" w:tplc="E4CA9E00">
      <w:start w:val="1"/>
      <w:numFmt w:val="bullet"/>
      <w:lvlText w:val=""/>
      <w:lvlJc w:val="left"/>
      <w:pPr>
        <w:ind w:left="2880" w:hanging="360"/>
      </w:pPr>
      <w:rPr>
        <w:rFonts w:ascii="Symbol" w:hAnsi="Symbol" w:hint="default"/>
      </w:rPr>
    </w:lvl>
    <w:lvl w:ilvl="4" w:tplc="F7B214A8">
      <w:start w:val="1"/>
      <w:numFmt w:val="bullet"/>
      <w:lvlText w:val="o"/>
      <w:lvlJc w:val="left"/>
      <w:pPr>
        <w:ind w:left="3600" w:hanging="360"/>
      </w:pPr>
      <w:rPr>
        <w:rFonts w:ascii="Courier New" w:hAnsi="Courier New" w:hint="default"/>
      </w:rPr>
    </w:lvl>
    <w:lvl w:ilvl="5" w:tplc="B0461D28">
      <w:start w:val="1"/>
      <w:numFmt w:val="bullet"/>
      <w:lvlText w:val=""/>
      <w:lvlJc w:val="left"/>
      <w:pPr>
        <w:ind w:left="4320" w:hanging="360"/>
      </w:pPr>
      <w:rPr>
        <w:rFonts w:ascii="Wingdings" w:hAnsi="Wingdings" w:hint="default"/>
      </w:rPr>
    </w:lvl>
    <w:lvl w:ilvl="6" w:tplc="07745F3E">
      <w:start w:val="1"/>
      <w:numFmt w:val="bullet"/>
      <w:lvlText w:val=""/>
      <w:lvlJc w:val="left"/>
      <w:pPr>
        <w:ind w:left="5040" w:hanging="360"/>
      </w:pPr>
      <w:rPr>
        <w:rFonts w:ascii="Symbol" w:hAnsi="Symbol" w:hint="default"/>
      </w:rPr>
    </w:lvl>
    <w:lvl w:ilvl="7" w:tplc="30604932">
      <w:start w:val="1"/>
      <w:numFmt w:val="bullet"/>
      <w:lvlText w:val="o"/>
      <w:lvlJc w:val="left"/>
      <w:pPr>
        <w:ind w:left="5760" w:hanging="360"/>
      </w:pPr>
      <w:rPr>
        <w:rFonts w:ascii="Courier New" w:hAnsi="Courier New" w:hint="default"/>
      </w:rPr>
    </w:lvl>
    <w:lvl w:ilvl="8" w:tplc="6C6E59E0">
      <w:start w:val="1"/>
      <w:numFmt w:val="bullet"/>
      <w:lvlText w:val=""/>
      <w:lvlJc w:val="left"/>
      <w:pPr>
        <w:ind w:left="6480" w:hanging="360"/>
      </w:pPr>
      <w:rPr>
        <w:rFonts w:ascii="Wingdings" w:hAnsi="Wingdings" w:hint="default"/>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8"/>
  </w:num>
  <w:num w:numId="5">
    <w:abstractNumId w:val="0"/>
  </w:num>
  <w:num w:numId="6">
    <w:abstractNumId w:val="10"/>
  </w:num>
  <w:num w:numId="7">
    <w:abstractNumId w:val="14"/>
  </w:num>
  <w:num w:numId="8">
    <w:abstractNumId w:val="21"/>
  </w:num>
  <w:num w:numId="9">
    <w:abstractNumId w:val="18"/>
  </w:num>
  <w:num w:numId="10">
    <w:abstractNumId w:val="15"/>
  </w:num>
  <w:num w:numId="11">
    <w:abstractNumId w:val="4"/>
  </w:num>
  <w:num w:numId="12">
    <w:abstractNumId w:val="19"/>
  </w:num>
  <w:num w:numId="13">
    <w:abstractNumId w:val="13"/>
  </w:num>
  <w:num w:numId="14">
    <w:abstractNumId w:val="17"/>
  </w:num>
  <w:num w:numId="15">
    <w:abstractNumId w:val="9"/>
  </w:num>
  <w:num w:numId="16">
    <w:abstractNumId w:val="11"/>
  </w:num>
  <w:num w:numId="17">
    <w:abstractNumId w:val="7"/>
  </w:num>
  <w:num w:numId="18">
    <w:abstractNumId w:val="1"/>
  </w:num>
  <w:num w:numId="19">
    <w:abstractNumId w:val="12"/>
  </w:num>
  <w:num w:numId="20">
    <w:abstractNumId w:val="16"/>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752C"/>
    <w:rsid w:val="000158EA"/>
    <w:rsid w:val="00026F52"/>
    <w:rsid w:val="0004453F"/>
    <w:rsid w:val="00066B73"/>
    <w:rsid w:val="00071018"/>
    <w:rsid w:val="00086424"/>
    <w:rsid w:val="000A2698"/>
    <w:rsid w:val="000A5D32"/>
    <w:rsid w:val="000A5E66"/>
    <w:rsid w:val="000D1272"/>
    <w:rsid w:val="000F1BEF"/>
    <w:rsid w:val="000F258E"/>
    <w:rsid w:val="000F55E9"/>
    <w:rsid w:val="000F7E52"/>
    <w:rsid w:val="00112F8F"/>
    <w:rsid w:val="001168C9"/>
    <w:rsid w:val="00120AB1"/>
    <w:rsid w:val="00133DC2"/>
    <w:rsid w:val="001409C5"/>
    <w:rsid w:val="00176E04"/>
    <w:rsid w:val="00195699"/>
    <w:rsid w:val="00196329"/>
    <w:rsid w:val="001A2822"/>
    <w:rsid w:val="001B25B1"/>
    <w:rsid w:val="001B263C"/>
    <w:rsid w:val="001C5FC4"/>
    <w:rsid w:val="001E2523"/>
    <w:rsid w:val="00203DAA"/>
    <w:rsid w:val="002254C7"/>
    <w:rsid w:val="00234D66"/>
    <w:rsid w:val="00242118"/>
    <w:rsid w:val="0026035E"/>
    <w:rsid w:val="0029569C"/>
    <w:rsid w:val="002C2553"/>
    <w:rsid w:val="002C60C4"/>
    <w:rsid w:val="002D0877"/>
    <w:rsid w:val="002E318A"/>
    <w:rsid w:val="002F3634"/>
    <w:rsid w:val="002F6576"/>
    <w:rsid w:val="00303440"/>
    <w:rsid w:val="003045E4"/>
    <w:rsid w:val="003073E7"/>
    <w:rsid w:val="00317C41"/>
    <w:rsid w:val="0033530F"/>
    <w:rsid w:val="00352652"/>
    <w:rsid w:val="0035667A"/>
    <w:rsid w:val="00365F64"/>
    <w:rsid w:val="0037275D"/>
    <w:rsid w:val="00377356"/>
    <w:rsid w:val="003E5BF8"/>
    <w:rsid w:val="00400C55"/>
    <w:rsid w:val="004044AA"/>
    <w:rsid w:val="00417141"/>
    <w:rsid w:val="00456623"/>
    <w:rsid w:val="00462140"/>
    <w:rsid w:val="004631AE"/>
    <w:rsid w:val="004744F9"/>
    <w:rsid w:val="00476F86"/>
    <w:rsid w:val="004B00D9"/>
    <w:rsid w:val="004B73E7"/>
    <w:rsid w:val="004C5424"/>
    <w:rsid w:val="004C5F79"/>
    <w:rsid w:val="004D2CB9"/>
    <w:rsid w:val="004D73BD"/>
    <w:rsid w:val="00504158"/>
    <w:rsid w:val="00504B25"/>
    <w:rsid w:val="00516B4F"/>
    <w:rsid w:val="0052687B"/>
    <w:rsid w:val="00560B99"/>
    <w:rsid w:val="005858D4"/>
    <w:rsid w:val="00591CAA"/>
    <w:rsid w:val="005B3672"/>
    <w:rsid w:val="005B67CE"/>
    <w:rsid w:val="005F2022"/>
    <w:rsid w:val="00610C90"/>
    <w:rsid w:val="006125B6"/>
    <w:rsid w:val="006264D6"/>
    <w:rsid w:val="0062764E"/>
    <w:rsid w:val="0063123A"/>
    <w:rsid w:val="006421B3"/>
    <w:rsid w:val="00674C7E"/>
    <w:rsid w:val="00686CEF"/>
    <w:rsid w:val="00687855"/>
    <w:rsid w:val="006B0B83"/>
    <w:rsid w:val="006B4B8C"/>
    <w:rsid w:val="006B58BB"/>
    <w:rsid w:val="006B5E63"/>
    <w:rsid w:val="006C4E04"/>
    <w:rsid w:val="006E7FB1"/>
    <w:rsid w:val="007077C0"/>
    <w:rsid w:val="00715230"/>
    <w:rsid w:val="007379E2"/>
    <w:rsid w:val="00741B9E"/>
    <w:rsid w:val="007523E0"/>
    <w:rsid w:val="007570EC"/>
    <w:rsid w:val="00774A76"/>
    <w:rsid w:val="00796285"/>
    <w:rsid w:val="007C2F04"/>
    <w:rsid w:val="007D7FA7"/>
    <w:rsid w:val="007E2324"/>
    <w:rsid w:val="007F30F5"/>
    <w:rsid w:val="00804B5F"/>
    <w:rsid w:val="00814FB5"/>
    <w:rsid w:val="00814FB6"/>
    <w:rsid w:val="008207FC"/>
    <w:rsid w:val="00830017"/>
    <w:rsid w:val="0086167D"/>
    <w:rsid w:val="00882214"/>
    <w:rsid w:val="008849EC"/>
    <w:rsid w:val="00895179"/>
    <w:rsid w:val="008F651A"/>
    <w:rsid w:val="00902439"/>
    <w:rsid w:val="00915BB1"/>
    <w:rsid w:val="009235E4"/>
    <w:rsid w:val="00941924"/>
    <w:rsid w:val="0094629D"/>
    <w:rsid w:val="00960C35"/>
    <w:rsid w:val="009736B2"/>
    <w:rsid w:val="009A081B"/>
    <w:rsid w:val="009B2040"/>
    <w:rsid w:val="009B4C30"/>
    <w:rsid w:val="009C1765"/>
    <w:rsid w:val="009D71E8"/>
    <w:rsid w:val="009F32E1"/>
    <w:rsid w:val="009F498C"/>
    <w:rsid w:val="00A015A0"/>
    <w:rsid w:val="00A117D5"/>
    <w:rsid w:val="00A15711"/>
    <w:rsid w:val="00A30BE2"/>
    <w:rsid w:val="00A33C55"/>
    <w:rsid w:val="00A457E4"/>
    <w:rsid w:val="00A514AB"/>
    <w:rsid w:val="00AA14DA"/>
    <w:rsid w:val="00AD41DC"/>
    <w:rsid w:val="00AD5A05"/>
    <w:rsid w:val="00AD677C"/>
    <w:rsid w:val="00AE08D0"/>
    <w:rsid w:val="00AE4F8C"/>
    <w:rsid w:val="00B1226E"/>
    <w:rsid w:val="00B25744"/>
    <w:rsid w:val="00B27FA6"/>
    <w:rsid w:val="00B40C39"/>
    <w:rsid w:val="00B62E49"/>
    <w:rsid w:val="00B8771F"/>
    <w:rsid w:val="00B877AA"/>
    <w:rsid w:val="00BB3A9F"/>
    <w:rsid w:val="00BB4281"/>
    <w:rsid w:val="00BB6E36"/>
    <w:rsid w:val="00BE4A95"/>
    <w:rsid w:val="00BF3FA3"/>
    <w:rsid w:val="00C0191A"/>
    <w:rsid w:val="00C10362"/>
    <w:rsid w:val="00C12C17"/>
    <w:rsid w:val="00C1329D"/>
    <w:rsid w:val="00C242B1"/>
    <w:rsid w:val="00C24D9E"/>
    <w:rsid w:val="00CA2AAF"/>
    <w:rsid w:val="00CA3B7F"/>
    <w:rsid w:val="00CB2EFB"/>
    <w:rsid w:val="00CC783C"/>
    <w:rsid w:val="00CD664E"/>
    <w:rsid w:val="00CF22B8"/>
    <w:rsid w:val="00D02445"/>
    <w:rsid w:val="00D12624"/>
    <w:rsid w:val="00D174BF"/>
    <w:rsid w:val="00D21B12"/>
    <w:rsid w:val="00D21FC5"/>
    <w:rsid w:val="00D257F9"/>
    <w:rsid w:val="00D32323"/>
    <w:rsid w:val="00D33FE5"/>
    <w:rsid w:val="00D36593"/>
    <w:rsid w:val="00D541E0"/>
    <w:rsid w:val="00D566CA"/>
    <w:rsid w:val="00D61DBC"/>
    <w:rsid w:val="00D66757"/>
    <w:rsid w:val="00D770F9"/>
    <w:rsid w:val="00D87F2D"/>
    <w:rsid w:val="00D9733F"/>
    <w:rsid w:val="00DB11BF"/>
    <w:rsid w:val="00DB20DC"/>
    <w:rsid w:val="00DB7C7E"/>
    <w:rsid w:val="00DE4995"/>
    <w:rsid w:val="00DF23A5"/>
    <w:rsid w:val="00DF704F"/>
    <w:rsid w:val="00DF73D3"/>
    <w:rsid w:val="00E216E9"/>
    <w:rsid w:val="00E31AFA"/>
    <w:rsid w:val="00E46CCE"/>
    <w:rsid w:val="00E56753"/>
    <w:rsid w:val="00E66558"/>
    <w:rsid w:val="00E71E97"/>
    <w:rsid w:val="00E76BA0"/>
    <w:rsid w:val="00E80E7C"/>
    <w:rsid w:val="00E93039"/>
    <w:rsid w:val="00ED4868"/>
    <w:rsid w:val="00EF20AC"/>
    <w:rsid w:val="00F246B7"/>
    <w:rsid w:val="00F450F7"/>
    <w:rsid w:val="00F57295"/>
    <w:rsid w:val="00F736B1"/>
    <w:rsid w:val="00F76A4E"/>
    <w:rsid w:val="00F808BD"/>
    <w:rsid w:val="00FB537B"/>
    <w:rsid w:val="00FC5D82"/>
    <w:rsid w:val="00FE7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1168C9"/>
    <w:pPr>
      <w:suppressAutoHyphens w:val="0"/>
      <w:autoSpaceDN/>
      <w:spacing w:before="100" w:beforeAutospacing="1" w:after="100" w:afterAutospacing="1" w:line="240" w:lineRule="auto"/>
    </w:pPr>
    <w:rPr>
      <w:rFonts w:ascii="Times New Roman" w:hAnsi="Times New Roman"/>
      <w:color w:val="auto"/>
    </w:rPr>
  </w:style>
  <w:style w:type="character" w:customStyle="1" w:styleId="pull-double">
    <w:name w:val="pull-double"/>
    <w:basedOn w:val="DefaultParagraphFont"/>
    <w:rsid w:val="00D87F2D"/>
  </w:style>
  <w:style w:type="paragraph" w:styleId="NoSpacing">
    <w:name w:val="No Spacing"/>
    <w:link w:val="NoSpacingChar"/>
    <w:uiPriority w:val="1"/>
    <w:qFormat/>
    <w:rsid w:val="00DB11BF"/>
    <w:pPr>
      <w:autoSpaceDN/>
    </w:pPr>
    <w:rPr>
      <w:rFonts w:ascii="Calibri" w:eastAsia="Calibri" w:hAnsi="Calibri"/>
      <w:sz w:val="22"/>
      <w:szCs w:val="22"/>
      <w:lang w:eastAsia="en-US"/>
    </w:rPr>
  </w:style>
  <w:style w:type="character" w:customStyle="1" w:styleId="NoSpacingChar">
    <w:name w:val="No Spacing Char"/>
    <w:basedOn w:val="DefaultParagraphFont"/>
    <w:link w:val="NoSpacing"/>
    <w:uiPriority w:val="1"/>
    <w:locked/>
    <w:rsid w:val="00DB11BF"/>
    <w:rPr>
      <w:rFonts w:ascii="Calibri" w:eastAsia="Calibri" w:hAnsi="Calibri"/>
      <w:sz w:val="22"/>
      <w:szCs w:val="22"/>
      <w:lang w:eastAsia="en-US"/>
    </w:rPr>
  </w:style>
  <w:style w:type="table" w:styleId="TableGrid">
    <w:name w:val="Table Grid"/>
    <w:basedOn w:val="TableNormal"/>
    <w:uiPriority w:val="39"/>
    <w:rsid w:val="007F3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015A0"/>
  </w:style>
  <w:style w:type="character" w:customStyle="1" w:styleId="eop">
    <w:name w:val="eop"/>
    <w:basedOn w:val="DefaultParagraphFont"/>
    <w:rsid w:val="00A01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369066">
      <w:bodyDiv w:val="1"/>
      <w:marLeft w:val="0"/>
      <w:marRight w:val="0"/>
      <w:marTop w:val="0"/>
      <w:marBottom w:val="0"/>
      <w:divBdr>
        <w:top w:val="none" w:sz="0" w:space="0" w:color="auto"/>
        <w:left w:val="none" w:sz="0" w:space="0" w:color="auto"/>
        <w:bottom w:val="none" w:sz="0" w:space="0" w:color="auto"/>
        <w:right w:val="none" w:sz="0" w:space="0" w:color="auto"/>
      </w:divBdr>
      <w:divsChild>
        <w:div w:id="165051529">
          <w:marLeft w:val="0"/>
          <w:marRight w:val="0"/>
          <w:marTop w:val="0"/>
          <w:marBottom w:val="0"/>
          <w:divBdr>
            <w:top w:val="none" w:sz="0" w:space="0" w:color="auto"/>
            <w:left w:val="none" w:sz="0" w:space="0" w:color="auto"/>
            <w:bottom w:val="none" w:sz="0" w:space="0" w:color="auto"/>
            <w:right w:val="none" w:sz="0" w:space="0" w:color="auto"/>
          </w:divBdr>
        </w:div>
      </w:divsChild>
    </w:div>
    <w:div w:id="1485466780">
      <w:bodyDiv w:val="1"/>
      <w:marLeft w:val="0"/>
      <w:marRight w:val="0"/>
      <w:marTop w:val="0"/>
      <w:marBottom w:val="0"/>
      <w:divBdr>
        <w:top w:val="none" w:sz="0" w:space="0" w:color="auto"/>
        <w:left w:val="none" w:sz="0" w:space="0" w:color="auto"/>
        <w:bottom w:val="none" w:sz="0" w:space="0" w:color="auto"/>
        <w:right w:val="none" w:sz="0" w:space="0" w:color="auto"/>
      </w:divBdr>
    </w:div>
    <w:div w:id="2029405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endowmentfoundation.org.uk/education-evidence/teaching-learning-toolkit/reading-comprehension-strategies" TargetMode="External"/><Relationship Id="rId18" Type="http://schemas.openxmlformats.org/officeDocument/2006/relationships/hyperlink" Target="https://educationendowmentfoundation.org.uk/evidence-summaries/teaching-learning-toolkit/phonic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ducationendowmentfoundation.org.uk/education-evidence/teaching-learning-toolkit/social-and-emotional-learning" TargetMode="External"/><Relationship Id="rId7" Type="http://schemas.openxmlformats.org/officeDocument/2006/relationships/endnotes" Target="endnotes.xml"/><Relationship Id="rId12" Type="http://schemas.openxmlformats.org/officeDocument/2006/relationships/hyperlink" Target="https://educationendowmentfoundation.org.uk/education-evidence/guidance-reports/literacy-ks2" TargetMode="External"/><Relationship Id="rId17" Type="http://schemas.openxmlformats.org/officeDocument/2006/relationships/hyperlink" Target="https://www.gov.uk/government/publications/choosing-a-phonics-teaching-programm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endowmentfoundation.org.uk/education-evidence/guidance-reports/effective-professional-development" TargetMode="External"/><Relationship Id="rId20" Type="http://schemas.openxmlformats.org/officeDocument/2006/relationships/hyperlink" Target="https://educationendowmentfoundation.org.uk/evidence-summaries/teaching-learning-toolkit/small-group-tu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support-for-schools/school-improvement-planning/1-high-quality-teach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ducationendowmentfoundation.org.uk/evidence-summaries/teaching-learning-toolkit/oral-language-interventions/"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educationendowmentfoundation.org.uk/education-evidence/teaching-learning-toolkit/one-to-one-tui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ducationendowmentfoundation.org.uk/education-evidence/guidance-reports/send" TargetMode="External"/><Relationship Id="rId22" Type="http://schemas.openxmlformats.org/officeDocument/2006/relationships/hyperlink" Target="https://educationendowmentfoundation.org.uk/news/why-arts-education-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09B7C-5B05-4748-9780-F67D7D69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13</Pages>
  <Words>3861</Words>
  <Characters>22011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Miss A Rawlinson</cp:lastModifiedBy>
  <cp:revision>15</cp:revision>
  <cp:lastPrinted>2023-05-16T12:28:00Z</cp:lastPrinted>
  <dcterms:created xsi:type="dcterms:W3CDTF">2023-03-01T13:23:00Z</dcterms:created>
  <dcterms:modified xsi:type="dcterms:W3CDTF">2023-05-17T08:07:00Z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